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Borders>
          <w:top w:val="single" w:sz="24" w:space="0" w:color="auto"/>
          <w:left w:val="single" w:sz="24" w:space="0" w:color="auto"/>
          <w:bottom w:val="single" w:sz="24" w:space="0" w:color="auto"/>
          <w:right w:val="single" w:sz="24" w:space="0" w:color="auto"/>
        </w:tblBorders>
        <w:tblLook w:val="01E0" w:firstRow="1" w:lastRow="1" w:firstColumn="1" w:lastColumn="1" w:noHBand="0" w:noVBand="0"/>
      </w:tblPr>
      <w:tblGrid>
        <w:gridCol w:w="2013"/>
        <w:gridCol w:w="7734"/>
      </w:tblGrid>
      <w:tr>
        <w:trPr>
          <w:trHeight w:val="843"/>
        </w:trPr>
        <w:tc>
          <w:tcPr>
            <w:tcW w:w="2013" w:type="dxa"/>
            <w:vMerge w:val="restart"/>
          </w:tcPr>
          <w:p>
            <w:pPr>
              <w:jc w:val="center"/>
              <w:rPr>
                <w:rFonts w:ascii="Verdana" w:hAnsi="Verdana"/>
                <w:b/>
                <w:sz w:val="16"/>
                <w:szCs w:val="16"/>
              </w:rPr>
            </w:pPr>
            <w:r>
              <w:rPr>
                <w:rFonts w:ascii="Verdana" w:hAnsi="Verdana"/>
                <w:b/>
                <w:noProof/>
                <w:sz w:val="16"/>
                <w:szCs w:val="16"/>
                <w:lang w:val="fr-BE" w:eastAsia="fr-BE"/>
              </w:rPr>
              <w:drawing>
                <wp:anchor distT="0" distB="0" distL="114300" distR="114300" simplePos="0" relativeHeight="251659264" behindDoc="1" locked="0" layoutInCell="1" allowOverlap="1">
                  <wp:simplePos x="0" y="0"/>
                  <wp:positionH relativeFrom="column">
                    <wp:posOffset>18415</wp:posOffset>
                  </wp:positionH>
                  <wp:positionV relativeFrom="paragraph">
                    <wp:posOffset>-1083310</wp:posOffset>
                  </wp:positionV>
                  <wp:extent cx="849630" cy="958850"/>
                  <wp:effectExtent l="0" t="0" r="0" b="0"/>
                  <wp:wrapTight wrapText="bothSides">
                    <wp:wrapPolygon edited="0">
                      <wp:start x="0" y="0"/>
                      <wp:lineTo x="0" y="21028"/>
                      <wp:lineTo x="21309" y="21028"/>
                      <wp:lineTo x="21309" y="0"/>
                      <wp:lineTo x="0" y="0"/>
                    </wp:wrapPolygon>
                  </wp:wrapTight>
                  <wp:docPr id="6" name="Image 6" descr="Logo_FWB_Verti_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FWB_Verti_Quadr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9630" cy="958850"/>
                          </a:xfrm>
                          <a:prstGeom prst="rect">
                            <a:avLst/>
                          </a:prstGeom>
                          <a:noFill/>
                        </pic:spPr>
                      </pic:pic>
                    </a:graphicData>
                  </a:graphic>
                  <wp14:sizeRelH relativeFrom="page">
                    <wp14:pctWidth>0</wp14:pctWidth>
                  </wp14:sizeRelH>
                  <wp14:sizeRelV relativeFrom="page">
                    <wp14:pctHeight>0</wp14:pctHeight>
                  </wp14:sizeRelV>
                </wp:anchor>
              </w:drawing>
            </w:r>
          </w:p>
          <w:p>
            <w:pPr>
              <w:jc w:val="center"/>
              <w:rPr>
                <w:rFonts w:ascii="Verdana" w:hAnsi="Verdana"/>
                <w:b/>
                <w:sz w:val="16"/>
                <w:szCs w:val="16"/>
              </w:rPr>
            </w:pPr>
          </w:p>
        </w:tc>
        <w:tc>
          <w:tcPr>
            <w:tcW w:w="7734" w:type="dxa"/>
            <w:tcBorders>
              <w:bottom w:val="single" w:sz="4" w:space="0" w:color="auto"/>
            </w:tcBorders>
          </w:tcPr>
          <w:p>
            <w:pPr>
              <w:tabs>
                <w:tab w:val="left" w:pos="4650"/>
              </w:tabs>
              <w:spacing w:after="120"/>
              <w:rPr>
                <w:rFonts w:ascii="Arial" w:hAnsi="Arial"/>
                <w:b/>
                <w:sz w:val="22"/>
              </w:rPr>
            </w:pPr>
            <w:r>
              <w:rPr>
                <w:rFonts w:ascii="Arial" w:hAnsi="Arial"/>
                <w:b/>
                <w:sz w:val="22"/>
              </w:rPr>
              <w:t>Circulaire 6225</w:t>
            </w:r>
            <w:r>
              <w:rPr>
                <w:rFonts w:ascii="Arial" w:hAnsi="Arial"/>
                <w:b/>
                <w:sz w:val="22"/>
              </w:rPr>
              <w:tab/>
              <w:t>du 13/06/2017</w:t>
            </w:r>
          </w:p>
          <w:p>
            <w:pPr>
              <w:rPr>
                <w:rFonts w:ascii="Arial" w:hAnsi="Arial"/>
                <w:b/>
                <w:smallCaps/>
                <w:sz w:val="22"/>
              </w:rPr>
            </w:pPr>
            <w:r>
              <w:rPr>
                <w:rFonts w:ascii="Arial" w:hAnsi="Arial"/>
                <w:b/>
                <w:smallCaps/>
                <w:sz w:val="22"/>
              </w:rPr>
              <w:t>Encadrement différencié - dispositions en matière d’octroi et d’utilisation des moyens et de rédaction du pgaed et de son rapport de suivi</w:t>
            </w:r>
          </w:p>
          <w:p>
            <w:pPr>
              <w:rPr>
                <w:rFonts w:ascii="Arial" w:hAnsi="Arial"/>
                <w:b/>
                <w:sz w:val="22"/>
              </w:rPr>
            </w:pPr>
            <w:r>
              <w:rPr>
                <w:rFonts w:ascii="Arial" w:hAnsi="Arial"/>
                <w:b/>
                <w:smallCaps/>
                <w:sz w:val="22"/>
              </w:rPr>
              <w:t>Enseignement secondaire ordinaire</w:t>
            </w:r>
          </w:p>
        </w:tc>
      </w:tr>
      <w:tr>
        <w:trPr>
          <w:trHeight w:val="390"/>
        </w:trPr>
        <w:tc>
          <w:tcPr>
            <w:tcW w:w="2013" w:type="dxa"/>
            <w:vMerge/>
          </w:tcPr>
          <w:p>
            <w:pPr>
              <w:jc w:val="center"/>
              <w:rPr>
                <w:rFonts w:ascii="Verdana" w:hAnsi="Verdana"/>
                <w:b/>
                <w:sz w:val="16"/>
                <w:szCs w:val="16"/>
              </w:rPr>
            </w:pPr>
          </w:p>
        </w:tc>
        <w:tc>
          <w:tcPr>
            <w:tcW w:w="7734" w:type="dxa"/>
            <w:tcBorders>
              <w:top w:val="single" w:sz="4" w:space="0" w:color="auto"/>
            </w:tcBorders>
          </w:tcPr>
          <w:p>
            <w:pPr>
              <w:spacing w:before="120" w:after="120"/>
              <w:rPr>
                <w:rFonts w:ascii="Arial" w:hAnsi="Arial"/>
                <w:i/>
                <w:sz w:val="20"/>
                <w:szCs w:val="20"/>
                <w:u w:val="single"/>
              </w:rPr>
            </w:pPr>
            <w:r>
              <w:rPr>
                <w:rFonts w:ascii="Arial" w:hAnsi="Arial"/>
                <w:i/>
                <w:sz w:val="20"/>
                <w:szCs w:val="20"/>
                <w:u w:val="single"/>
              </w:rPr>
              <w:t>Cette circulaire actualise la circulaire n° 5852 du 26/08/2016</w:t>
            </w:r>
          </w:p>
        </w:tc>
      </w:tr>
    </w:tbl>
    <w:p>
      <w:pPr>
        <w:rPr>
          <w:rFonts w:ascii="Arial" w:hAnsi="Arial"/>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5892"/>
        <w:gridCol w:w="540"/>
      </w:tblGrid>
      <w:tr>
        <w:trPr>
          <w:trHeight w:val="3452"/>
        </w:trPr>
        <w:tc>
          <w:tcPr>
            <w:tcW w:w="3936" w:type="dxa"/>
            <w:vMerge w:val="restart"/>
          </w:tcPr>
          <w:p>
            <w:pPr>
              <w:shd w:val="clear" w:color="auto" w:fill="D9D9D9"/>
              <w:ind w:left="180" w:hanging="180"/>
              <w:rPr>
                <w:rFonts w:ascii="Arial" w:hAnsi="Arial"/>
                <w:b/>
                <w:sz w:val="20"/>
              </w:rPr>
            </w:pPr>
          </w:p>
          <w:p>
            <w:pPr>
              <w:shd w:val="clear" w:color="auto" w:fill="D9D9D9"/>
              <w:ind w:left="180" w:hanging="180"/>
              <w:rPr>
                <w:rFonts w:ascii="Arial" w:hAnsi="Arial"/>
                <w:b/>
                <w:sz w:val="20"/>
              </w:rPr>
            </w:pPr>
            <w:r>
              <w:rPr>
                <w:rFonts w:ascii="Arial" w:hAnsi="Arial"/>
                <w:b/>
                <w:sz w:val="20"/>
              </w:rPr>
              <w:t>Réseaux et niveaux concernés</w:t>
            </w:r>
          </w:p>
          <w:p>
            <w:pPr>
              <w:ind w:left="180" w:hanging="180"/>
              <w:rPr>
                <w:rFonts w:ascii="Arial" w:hAnsi="Arial"/>
                <w:sz w:val="16"/>
                <w:szCs w:val="16"/>
              </w:rPr>
            </w:pPr>
          </w:p>
          <w:p>
            <w:pPr>
              <w:ind w:left="180" w:hanging="180"/>
              <w:rPr>
                <w:rFonts w:ascii="Arial" w:hAnsi="Arial" w:cs="Arial"/>
                <w:sz w:val="22"/>
                <w:szCs w:val="22"/>
              </w:rPr>
            </w:pPr>
            <w:r>
              <w:rPr>
                <w:rFonts w:ascii="Arial" w:hAnsi="Arial" w:cs="Arial"/>
                <w:sz w:val="22"/>
                <w:szCs w:val="22"/>
              </w:rPr>
              <w:fldChar w:fldCharType="begin">
                <w:ffData>
                  <w:name w:val="CaseACocher3"/>
                  <w:enabled/>
                  <w:calcOnExit w:val="0"/>
                  <w:checkBox>
                    <w:sizeAuto/>
                    <w:default w:val="0"/>
                    <w:checked/>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Fédération Wallonie-  Bruxelles </w:t>
            </w:r>
          </w:p>
          <w:p>
            <w:pPr>
              <w:ind w:left="180" w:hanging="180"/>
              <w:rPr>
                <w:rFonts w:ascii="Arial" w:hAnsi="Arial" w:cs="Arial"/>
                <w:sz w:val="22"/>
                <w:szCs w:val="22"/>
              </w:rPr>
            </w:pPr>
            <w:r>
              <w:rPr>
                <w:rFonts w:ascii="Arial" w:hAnsi="Arial" w:cs="Arial"/>
                <w:sz w:val="22"/>
                <w:szCs w:val="22"/>
              </w:rPr>
              <w:fldChar w:fldCharType="begin">
                <w:ffData>
                  <w:name w:val="CaseACocher4"/>
                  <w:enabled/>
                  <w:calcOnExit w:val="0"/>
                  <w:checkBox>
                    <w:sizeAuto/>
                    <w:default w:val="0"/>
                    <w:checked/>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Libre subventionné</w:t>
            </w:r>
          </w:p>
          <w:p>
            <w:pPr>
              <w:ind w:left="96" w:firstLine="358"/>
              <w:rPr>
                <w:rFonts w:ascii="Arial" w:hAnsi="Arial" w:cs="Arial"/>
                <w:sz w:val="22"/>
                <w:szCs w:val="22"/>
              </w:rPr>
            </w:pPr>
            <w:r>
              <w:rPr>
                <w:rFonts w:ascii="Arial" w:hAnsi="Arial" w:cs="Arial"/>
                <w:sz w:val="22"/>
                <w:szCs w:val="22"/>
              </w:rPr>
              <w:fldChar w:fldCharType="begin">
                <w:ffData>
                  <w:name w:val="CaseACocher5"/>
                  <w:enabled/>
                  <w:calcOnExit w:val="0"/>
                  <w:checkBox>
                    <w:sizeAuto/>
                    <w:default w:val="0"/>
                    <w:checked/>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libre confessionnel </w:t>
            </w:r>
          </w:p>
          <w:p>
            <w:pPr>
              <w:ind w:left="96" w:firstLine="358"/>
              <w:rPr>
                <w:rFonts w:ascii="Arial" w:hAnsi="Arial" w:cs="Arial"/>
                <w:sz w:val="22"/>
                <w:szCs w:val="22"/>
              </w:rPr>
            </w:pPr>
            <w:r>
              <w:rPr>
                <w:rFonts w:ascii="Arial" w:hAnsi="Arial" w:cs="Arial"/>
                <w:sz w:val="22"/>
                <w:szCs w:val="22"/>
              </w:rPr>
              <w:fldChar w:fldCharType="begin">
                <w:ffData>
                  <w:name w:val="CaseACocher6"/>
                  <w:enabled/>
                  <w:calcOnExit w:val="0"/>
                  <w:checkBox>
                    <w:sizeAuto/>
                    <w:default w:val="0"/>
                    <w:checked/>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libre non confessionnel</w:t>
            </w:r>
          </w:p>
          <w:p>
            <w:pPr>
              <w:ind w:left="180" w:hanging="180"/>
              <w:rPr>
                <w:rFonts w:ascii="Arial" w:hAnsi="Arial" w:cs="Arial"/>
                <w:sz w:val="22"/>
                <w:szCs w:val="22"/>
              </w:rPr>
            </w:pPr>
            <w:r>
              <w:rPr>
                <w:rFonts w:ascii="Arial" w:hAnsi="Arial" w:cs="Arial"/>
                <w:sz w:val="22"/>
                <w:szCs w:val="22"/>
              </w:rPr>
              <w:fldChar w:fldCharType="begin">
                <w:ffData>
                  <w:name w:val="CaseACocher7"/>
                  <w:enabled/>
                  <w:calcOnExit w:val="0"/>
                  <w:checkBox>
                    <w:sizeAuto/>
                    <w:default w:val="0"/>
                    <w:checked/>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Officiel subventionné</w:t>
            </w:r>
          </w:p>
          <w:p>
            <w:pPr>
              <w:ind w:left="180" w:hanging="180"/>
              <w:rPr>
                <w:rFonts w:ascii="Arial" w:hAnsi="Arial" w:cs="Arial"/>
                <w:color w:val="000000"/>
                <w:sz w:val="22"/>
                <w:szCs w:val="22"/>
              </w:rPr>
            </w:pPr>
          </w:p>
          <w:p>
            <w:pPr>
              <w:ind w:left="313" w:hanging="313"/>
              <w:rPr>
                <w:rFonts w:ascii="Arial" w:hAnsi="Arial" w:cs="Arial"/>
                <w:color w:val="000000"/>
                <w:sz w:val="22"/>
                <w:szCs w:val="22"/>
              </w:rPr>
            </w:pPr>
            <w:r>
              <w:rPr>
                <w:rFonts w:ascii="Arial" w:hAnsi="Arial" w:cs="Arial"/>
                <w:color w:val="000000"/>
                <w:sz w:val="22"/>
                <w:szCs w:val="22"/>
              </w:rPr>
              <w:fldChar w:fldCharType="begin">
                <w:ffData>
                  <w:name w:val="CaseACocher8"/>
                  <w:enabled/>
                  <w:calcOnExit w:val="0"/>
                  <w:checkBox>
                    <w:sizeAuto/>
                    <w:default w:val="0"/>
                    <w:checked/>
                  </w:checkBox>
                </w:ffData>
              </w:fldChar>
            </w:r>
            <w:r>
              <w:rPr>
                <w:rFonts w:ascii="Arial" w:hAnsi="Arial" w:cs="Arial"/>
                <w:color w:val="000000"/>
                <w:sz w:val="22"/>
                <w:szCs w:val="22"/>
              </w:rPr>
              <w:instrText xml:space="preserve"> FORMCHECKBOX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color w:val="000000"/>
                <w:sz w:val="22"/>
                <w:szCs w:val="22"/>
              </w:rPr>
              <w:fldChar w:fldCharType="end"/>
            </w:r>
            <w:r>
              <w:rPr>
                <w:rFonts w:ascii="Arial" w:hAnsi="Arial" w:cs="Arial"/>
                <w:color w:val="000000"/>
                <w:sz w:val="22"/>
                <w:szCs w:val="22"/>
              </w:rPr>
              <w:t xml:space="preserve"> </w:t>
            </w:r>
            <w:r>
              <w:rPr>
                <w:rFonts w:ascii="Arial" w:hAnsi="Arial" w:cs="Arial"/>
                <w:sz w:val="22"/>
                <w:szCs w:val="22"/>
              </w:rPr>
              <w:t>Niveau : Secondaire ordinaire de plein exercice</w:t>
            </w:r>
          </w:p>
          <w:p>
            <w:pPr>
              <w:ind w:left="180" w:hanging="180"/>
              <w:rPr>
                <w:rFonts w:ascii="Arial" w:hAnsi="Arial"/>
                <w:sz w:val="16"/>
                <w:szCs w:val="16"/>
              </w:rPr>
            </w:pPr>
          </w:p>
          <w:p>
            <w:pPr>
              <w:shd w:val="clear" w:color="auto" w:fill="D9D9D9"/>
              <w:ind w:left="180" w:hanging="180"/>
              <w:rPr>
                <w:rFonts w:ascii="Arial" w:hAnsi="Arial"/>
                <w:b/>
                <w:sz w:val="20"/>
              </w:rPr>
            </w:pPr>
            <w:r>
              <w:rPr>
                <w:rFonts w:ascii="Arial" w:hAnsi="Arial"/>
                <w:b/>
                <w:sz w:val="20"/>
              </w:rPr>
              <w:t>Type de circulaire</w:t>
            </w:r>
          </w:p>
          <w:p>
            <w:pPr>
              <w:tabs>
                <w:tab w:val="left" w:pos="5580"/>
              </w:tabs>
              <w:ind w:left="180" w:hanging="180"/>
              <w:rPr>
                <w:rFonts w:ascii="Arial" w:hAnsi="Arial"/>
                <w:sz w:val="16"/>
                <w:szCs w:val="16"/>
              </w:rPr>
            </w:pPr>
          </w:p>
          <w:p>
            <w:pPr>
              <w:tabs>
                <w:tab w:val="left" w:pos="5580"/>
              </w:tabs>
              <w:ind w:left="180" w:hanging="180"/>
              <w:rPr>
                <w:rFonts w:ascii="Arial" w:hAnsi="Arial"/>
                <w:sz w:val="20"/>
              </w:rPr>
            </w:pPr>
            <w:r>
              <w:rPr>
                <w:rFonts w:ascii="Arial" w:hAnsi="Arial"/>
                <w:sz w:val="20"/>
              </w:rPr>
              <w:fldChar w:fldCharType="begin">
                <w:ffData>
                  <w:name w:val="CaseACocher9"/>
                  <w:enabled/>
                  <w:calcOnExit w:val="0"/>
                  <w:checkBox>
                    <w:sizeAuto/>
                    <w:default w:val="1"/>
                  </w:checkBox>
                </w:ffData>
              </w:fldChar>
            </w:r>
            <w:r>
              <w:rPr>
                <w:rFonts w:ascii="Arial" w:hAnsi="Arial"/>
                <w:sz w:val="20"/>
              </w:rPr>
              <w:instrText xml:space="preserve"> FORMCHECKBOX </w:instrText>
            </w:r>
            <w:r>
              <w:rPr>
                <w:rFonts w:ascii="Arial" w:hAnsi="Arial"/>
                <w:sz w:val="20"/>
              </w:rPr>
            </w:r>
            <w:r>
              <w:rPr>
                <w:rFonts w:ascii="Arial" w:hAnsi="Arial"/>
                <w:sz w:val="20"/>
              </w:rPr>
              <w:fldChar w:fldCharType="separate"/>
            </w:r>
            <w:r>
              <w:rPr>
                <w:rFonts w:ascii="Arial" w:hAnsi="Arial"/>
                <w:sz w:val="20"/>
              </w:rPr>
              <w:fldChar w:fldCharType="end"/>
            </w:r>
            <w:r>
              <w:rPr>
                <w:rFonts w:ascii="Arial" w:hAnsi="Arial"/>
                <w:sz w:val="20"/>
              </w:rPr>
              <w:t xml:space="preserve"> Circulaire administrative</w:t>
            </w:r>
          </w:p>
          <w:p>
            <w:pPr>
              <w:tabs>
                <w:tab w:val="left" w:pos="5580"/>
              </w:tabs>
              <w:ind w:left="180" w:hanging="180"/>
              <w:rPr>
                <w:rFonts w:ascii="Arial" w:hAnsi="Arial"/>
                <w:sz w:val="16"/>
                <w:szCs w:val="16"/>
              </w:rPr>
            </w:pPr>
          </w:p>
          <w:p>
            <w:pPr>
              <w:tabs>
                <w:tab w:val="left" w:pos="5580"/>
              </w:tabs>
              <w:ind w:left="180" w:hanging="180"/>
              <w:rPr>
                <w:rFonts w:ascii="Arial" w:hAnsi="Arial"/>
                <w:sz w:val="20"/>
              </w:rPr>
            </w:pPr>
            <w:r>
              <w:rPr>
                <w:rFonts w:ascii="Arial" w:hAnsi="Arial"/>
                <w:sz w:val="20"/>
              </w:rPr>
              <w:fldChar w:fldCharType="begin">
                <w:ffData>
                  <w:name w:val="CaseACocher10"/>
                  <w:enabled/>
                  <w:calcOnExit w:val="0"/>
                  <w:checkBox>
                    <w:sizeAuto/>
                    <w:default w:val="0"/>
                    <w:checked w:val="0"/>
                  </w:checkBox>
                </w:ffData>
              </w:fldChar>
            </w:r>
            <w:r>
              <w:rPr>
                <w:rFonts w:ascii="Arial" w:hAnsi="Arial"/>
                <w:sz w:val="20"/>
              </w:rPr>
              <w:instrText xml:space="preserve"> FORMCHECKBOX </w:instrText>
            </w:r>
            <w:r>
              <w:rPr>
                <w:rFonts w:ascii="Arial" w:hAnsi="Arial"/>
                <w:sz w:val="20"/>
              </w:rPr>
            </w:r>
            <w:r>
              <w:rPr>
                <w:rFonts w:ascii="Arial" w:hAnsi="Arial"/>
                <w:sz w:val="20"/>
              </w:rPr>
              <w:fldChar w:fldCharType="separate"/>
            </w:r>
            <w:r>
              <w:rPr>
                <w:rFonts w:ascii="Arial" w:hAnsi="Arial"/>
                <w:sz w:val="20"/>
              </w:rPr>
              <w:fldChar w:fldCharType="end"/>
            </w:r>
            <w:r>
              <w:rPr>
                <w:rFonts w:ascii="Arial" w:hAnsi="Arial"/>
                <w:sz w:val="20"/>
              </w:rPr>
              <w:t xml:space="preserve"> Circulaire informative</w:t>
            </w:r>
          </w:p>
          <w:p>
            <w:pPr>
              <w:tabs>
                <w:tab w:val="left" w:pos="5580"/>
              </w:tabs>
              <w:ind w:left="180" w:hanging="180"/>
              <w:rPr>
                <w:rFonts w:ascii="Arial" w:hAnsi="Arial"/>
                <w:sz w:val="20"/>
              </w:rPr>
            </w:pPr>
            <w:r>
              <w:rPr>
                <w:rFonts w:ascii="Arial" w:hAnsi="Arial"/>
                <w:sz w:val="20"/>
              </w:rPr>
              <w:tab/>
            </w:r>
            <w:r>
              <w:rPr>
                <w:rFonts w:ascii="Arial" w:hAnsi="Arial"/>
                <w:sz w:val="20"/>
              </w:rPr>
              <w:tab/>
            </w:r>
          </w:p>
          <w:p>
            <w:pPr>
              <w:shd w:val="clear" w:color="auto" w:fill="D9D9D9"/>
              <w:ind w:left="180" w:hanging="180"/>
              <w:rPr>
                <w:rFonts w:ascii="Arial" w:hAnsi="Arial"/>
                <w:b/>
                <w:sz w:val="20"/>
              </w:rPr>
            </w:pPr>
            <w:r>
              <w:rPr>
                <w:rFonts w:ascii="Arial" w:hAnsi="Arial"/>
                <w:b/>
                <w:sz w:val="20"/>
              </w:rPr>
              <w:t>Période de validité</w:t>
            </w:r>
          </w:p>
          <w:p>
            <w:pPr>
              <w:tabs>
                <w:tab w:val="left" w:pos="3420"/>
                <w:tab w:val="left" w:pos="6840"/>
              </w:tabs>
              <w:ind w:left="180" w:hanging="180"/>
              <w:rPr>
                <w:rFonts w:ascii="Arial" w:hAnsi="Arial"/>
                <w:sz w:val="16"/>
                <w:szCs w:val="16"/>
              </w:rPr>
            </w:pPr>
          </w:p>
          <w:bookmarkStart w:id="0" w:name="CaseACocher11"/>
          <w:p>
            <w:pPr>
              <w:tabs>
                <w:tab w:val="left" w:pos="3420"/>
                <w:tab w:val="left" w:pos="6840"/>
              </w:tabs>
              <w:ind w:left="180" w:hanging="180"/>
              <w:rPr>
                <w:rFonts w:ascii="Arial" w:hAnsi="Arial"/>
                <w:sz w:val="20"/>
              </w:rPr>
            </w:pPr>
            <w:r>
              <w:rPr>
                <w:rFonts w:ascii="Arial" w:hAnsi="Arial"/>
                <w:sz w:val="20"/>
              </w:rPr>
              <w:fldChar w:fldCharType="begin">
                <w:ffData>
                  <w:name w:val="CaseACocher11"/>
                  <w:enabled/>
                  <w:calcOnExit w:val="0"/>
                  <w:checkBox>
                    <w:sizeAuto/>
                    <w:default w:val="1"/>
                  </w:checkBox>
                </w:ffData>
              </w:fldChar>
            </w:r>
            <w:r>
              <w:rPr>
                <w:rFonts w:ascii="Arial" w:hAnsi="Arial"/>
                <w:sz w:val="20"/>
              </w:rPr>
              <w:instrText xml:space="preserve"> FORMCHECKBOX </w:instrText>
            </w:r>
            <w:r>
              <w:rPr>
                <w:rFonts w:ascii="Arial" w:hAnsi="Arial"/>
                <w:sz w:val="20"/>
              </w:rPr>
            </w:r>
            <w:r>
              <w:rPr>
                <w:rFonts w:ascii="Arial" w:hAnsi="Arial"/>
                <w:sz w:val="20"/>
              </w:rPr>
              <w:fldChar w:fldCharType="separate"/>
            </w:r>
            <w:r>
              <w:rPr>
                <w:rFonts w:ascii="Arial" w:hAnsi="Arial"/>
                <w:sz w:val="20"/>
              </w:rPr>
              <w:fldChar w:fldCharType="end"/>
            </w:r>
            <w:bookmarkEnd w:id="0"/>
            <w:r>
              <w:rPr>
                <w:rFonts w:ascii="Arial" w:hAnsi="Arial"/>
                <w:sz w:val="20"/>
              </w:rPr>
              <w:t xml:space="preserve"> À partir du 1</w:t>
            </w:r>
            <w:r>
              <w:rPr>
                <w:rFonts w:ascii="Arial" w:hAnsi="Arial"/>
                <w:sz w:val="20"/>
                <w:vertAlign w:val="superscript"/>
              </w:rPr>
              <w:t>er</w:t>
            </w:r>
            <w:r>
              <w:rPr>
                <w:rFonts w:ascii="Arial" w:hAnsi="Arial"/>
                <w:sz w:val="20"/>
              </w:rPr>
              <w:t xml:space="preserve"> septembre 2017</w:t>
            </w:r>
          </w:p>
          <w:p>
            <w:pPr>
              <w:tabs>
                <w:tab w:val="left" w:pos="3420"/>
                <w:tab w:val="left" w:pos="6840"/>
              </w:tabs>
              <w:ind w:left="180" w:hanging="180"/>
              <w:rPr>
                <w:rFonts w:ascii="Arial" w:hAnsi="Arial"/>
                <w:sz w:val="20"/>
              </w:rPr>
            </w:pPr>
            <w:r>
              <w:rPr>
                <w:rFonts w:ascii="Arial" w:hAnsi="Arial"/>
                <w:sz w:val="20"/>
              </w:rPr>
              <w:t xml:space="preserve">                                       </w:t>
            </w:r>
          </w:p>
          <w:p>
            <w:pPr>
              <w:ind w:left="180" w:hanging="180"/>
              <w:rPr>
                <w:rFonts w:ascii="Arial" w:hAnsi="Arial"/>
                <w:sz w:val="16"/>
                <w:szCs w:val="16"/>
              </w:rPr>
            </w:pPr>
          </w:p>
          <w:p>
            <w:pPr>
              <w:shd w:val="clear" w:color="auto" w:fill="D9D9D9"/>
              <w:ind w:left="180" w:hanging="180"/>
              <w:rPr>
                <w:rFonts w:ascii="Arial" w:hAnsi="Arial"/>
                <w:b/>
                <w:sz w:val="20"/>
              </w:rPr>
            </w:pPr>
            <w:r>
              <w:rPr>
                <w:rFonts w:ascii="Arial" w:hAnsi="Arial"/>
                <w:b/>
                <w:sz w:val="20"/>
              </w:rPr>
              <w:t>Documents à renvoyer</w:t>
            </w:r>
          </w:p>
          <w:p>
            <w:pPr>
              <w:tabs>
                <w:tab w:val="left" w:pos="3420"/>
                <w:tab w:val="left" w:pos="6840"/>
              </w:tabs>
              <w:ind w:left="180" w:hanging="180"/>
              <w:rPr>
                <w:rFonts w:ascii="Arial" w:hAnsi="Arial"/>
                <w:sz w:val="16"/>
                <w:szCs w:val="16"/>
              </w:rPr>
            </w:pPr>
          </w:p>
          <w:p>
            <w:pPr>
              <w:tabs>
                <w:tab w:val="left" w:pos="3420"/>
                <w:tab w:val="left" w:pos="6840"/>
              </w:tabs>
              <w:ind w:left="180" w:hanging="180"/>
              <w:rPr>
                <w:rFonts w:ascii="Arial" w:hAnsi="Arial"/>
                <w:sz w:val="20"/>
              </w:rPr>
            </w:pPr>
            <w:r>
              <w:rPr>
                <w:rFonts w:ascii="Arial" w:hAnsi="Arial"/>
                <w:sz w:val="20"/>
              </w:rPr>
              <w:fldChar w:fldCharType="begin">
                <w:ffData>
                  <w:name w:val=""/>
                  <w:enabled/>
                  <w:calcOnExit w:val="0"/>
                  <w:checkBox>
                    <w:sizeAuto/>
                    <w:default w:val="0"/>
                  </w:checkBox>
                </w:ffData>
              </w:fldChar>
            </w:r>
            <w:r>
              <w:rPr>
                <w:rFonts w:ascii="Arial" w:hAnsi="Arial"/>
                <w:sz w:val="20"/>
              </w:rPr>
              <w:instrText xml:space="preserve"> FORMCHECKBOX </w:instrText>
            </w:r>
            <w:r>
              <w:rPr>
                <w:rFonts w:ascii="Arial" w:hAnsi="Arial"/>
                <w:sz w:val="20"/>
              </w:rPr>
            </w:r>
            <w:r>
              <w:rPr>
                <w:rFonts w:ascii="Arial" w:hAnsi="Arial"/>
                <w:sz w:val="20"/>
              </w:rPr>
              <w:fldChar w:fldCharType="separate"/>
            </w:r>
            <w:r>
              <w:rPr>
                <w:rFonts w:ascii="Arial" w:hAnsi="Arial"/>
                <w:sz w:val="20"/>
              </w:rPr>
              <w:fldChar w:fldCharType="end"/>
            </w:r>
            <w:r>
              <w:rPr>
                <w:rFonts w:ascii="Arial" w:hAnsi="Arial"/>
                <w:sz w:val="20"/>
              </w:rPr>
              <w:t xml:space="preserve"> Oui </w:t>
            </w:r>
          </w:p>
          <w:p>
            <w:pPr>
              <w:tabs>
                <w:tab w:val="left" w:pos="3420"/>
                <w:tab w:val="left" w:pos="6840"/>
              </w:tabs>
              <w:ind w:left="180" w:hanging="180"/>
              <w:rPr>
                <w:rFonts w:ascii="Arial" w:hAnsi="Arial"/>
                <w:sz w:val="16"/>
                <w:szCs w:val="16"/>
              </w:rPr>
            </w:pPr>
          </w:p>
          <w:p>
            <w:pPr>
              <w:ind w:left="96"/>
              <w:rPr>
                <w:rFonts w:ascii="Arial" w:hAnsi="Arial"/>
                <w:sz w:val="20"/>
              </w:rPr>
            </w:pPr>
            <w:r>
              <w:rPr>
                <w:rFonts w:ascii="Symbol" w:hAnsi="Symbol"/>
                <w:sz w:val="20"/>
              </w:rPr>
              <w:fldChar w:fldCharType="begin">
                <w:ffData>
                  <w:name w:val=""/>
                  <w:enabled/>
                  <w:calcOnExit w:val="0"/>
                  <w:checkBox>
                    <w:sizeAuto/>
                    <w:default w:val="0"/>
                  </w:checkBox>
                </w:ffData>
              </w:fldChar>
            </w:r>
            <w:r>
              <w:rPr>
                <w:rFonts w:ascii="Symbol" w:hAnsi="Symbol"/>
                <w:sz w:val="20"/>
              </w:rPr>
              <w:instrText xml:space="preserve"> FORMCHECKBOX </w:instrText>
            </w:r>
            <w:r>
              <w:rPr>
                <w:rFonts w:ascii="Symbol" w:hAnsi="Symbol"/>
                <w:sz w:val="20"/>
              </w:rPr>
            </w:r>
            <w:r>
              <w:rPr>
                <w:rFonts w:ascii="Symbol" w:hAnsi="Symbol"/>
                <w:sz w:val="20"/>
              </w:rPr>
              <w:fldChar w:fldCharType="separate"/>
            </w:r>
            <w:r>
              <w:rPr>
                <w:rFonts w:ascii="Symbol" w:hAnsi="Symbol"/>
                <w:sz w:val="20"/>
              </w:rPr>
              <w:fldChar w:fldCharType="end"/>
            </w:r>
            <w:r>
              <w:rPr>
                <w:rFonts w:ascii="Symbol" w:hAnsi="Symbol"/>
                <w:sz w:val="20"/>
              </w:rPr>
              <w:t></w:t>
            </w:r>
            <w:r>
              <w:rPr>
                <w:rFonts w:ascii="Symbol" w:hAnsi="Symbol"/>
                <w:sz w:val="20"/>
              </w:rPr>
              <w:t></w:t>
            </w:r>
            <w:r>
              <w:rPr>
                <w:rFonts w:ascii="Symbol" w:hAnsi="Symbol"/>
                <w:sz w:val="20"/>
              </w:rPr>
              <w:t></w:t>
            </w:r>
            <w:r>
              <w:rPr>
                <w:rFonts w:ascii="Symbol" w:hAnsi="Symbol"/>
                <w:sz w:val="20"/>
              </w:rPr>
              <w:t></w:t>
            </w:r>
            <w:r>
              <w:rPr>
                <w:rFonts w:ascii="Arial" w:hAnsi="Arial"/>
                <w:sz w:val="20"/>
              </w:rPr>
              <w:t xml:space="preserve">Voir dates figurant dans la circulaire </w:t>
            </w:r>
          </w:p>
          <w:p>
            <w:pPr>
              <w:tabs>
                <w:tab w:val="left" w:pos="3420"/>
                <w:tab w:val="left" w:pos="6840"/>
              </w:tabs>
              <w:rPr>
                <w:rFonts w:ascii="Arial" w:hAnsi="Arial"/>
                <w:sz w:val="16"/>
                <w:szCs w:val="16"/>
              </w:rPr>
            </w:pPr>
          </w:p>
          <w:p>
            <w:pPr>
              <w:shd w:val="clear" w:color="auto" w:fill="D9D9D9"/>
              <w:ind w:left="180" w:hanging="180"/>
              <w:rPr>
                <w:rFonts w:ascii="Arial" w:hAnsi="Arial"/>
                <w:b/>
                <w:sz w:val="20"/>
              </w:rPr>
            </w:pPr>
            <w:r>
              <w:rPr>
                <w:rFonts w:ascii="Arial" w:hAnsi="Arial"/>
                <w:b/>
                <w:sz w:val="20"/>
              </w:rPr>
              <w:t>Mots-clés</w:t>
            </w:r>
          </w:p>
          <w:tbl>
            <w:tblPr>
              <w:tblW w:w="7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5"/>
              <w:gridCol w:w="415"/>
            </w:tblGrid>
            <w:tr>
              <w:tc>
                <w:tcPr>
                  <w:tcW w:w="7375" w:type="dxa"/>
                  <w:tcBorders>
                    <w:top w:val="nil"/>
                    <w:left w:val="nil"/>
                    <w:bottom w:val="nil"/>
                    <w:right w:val="nil"/>
                  </w:tcBorders>
                </w:tcPr>
                <w:p>
                  <w:pPr>
                    <w:autoSpaceDE w:val="0"/>
                    <w:autoSpaceDN w:val="0"/>
                    <w:adjustRightInd w:val="0"/>
                    <w:ind w:left="180" w:hanging="180"/>
                    <w:rPr>
                      <w:rFonts w:ascii="Verdana" w:hAnsi="Verdana"/>
                      <w:sz w:val="18"/>
                      <w:szCs w:val="18"/>
                    </w:rPr>
                  </w:pPr>
                  <w:r>
                    <w:rPr>
                      <w:rFonts w:ascii="Verdana" w:hAnsi="Verdana"/>
                      <w:sz w:val="18"/>
                      <w:szCs w:val="18"/>
                    </w:rPr>
                    <w:t>Secondaire/Encadrement différencié</w:t>
                  </w:r>
                </w:p>
              </w:tc>
              <w:tc>
                <w:tcPr>
                  <w:tcW w:w="415" w:type="dxa"/>
                  <w:tcBorders>
                    <w:top w:val="nil"/>
                    <w:left w:val="nil"/>
                    <w:bottom w:val="nil"/>
                    <w:right w:val="nil"/>
                  </w:tcBorders>
                </w:tcPr>
                <w:p>
                  <w:pPr>
                    <w:tabs>
                      <w:tab w:val="left" w:pos="3420"/>
                      <w:tab w:val="left" w:pos="6840"/>
                    </w:tabs>
                    <w:ind w:left="180" w:hanging="180"/>
                    <w:rPr>
                      <w:rFonts w:ascii="Verdana" w:hAnsi="Verdana"/>
                      <w:sz w:val="18"/>
                      <w:szCs w:val="18"/>
                    </w:rPr>
                  </w:pPr>
                </w:p>
              </w:tc>
            </w:tr>
          </w:tbl>
          <w:p>
            <w:pPr>
              <w:shd w:val="clear" w:color="auto" w:fill="D9D9D9"/>
              <w:ind w:left="284"/>
              <w:rPr>
                <w:rFonts w:ascii="Arial" w:hAnsi="Arial"/>
                <w:sz w:val="20"/>
              </w:rPr>
            </w:pPr>
          </w:p>
        </w:tc>
        <w:tc>
          <w:tcPr>
            <w:tcW w:w="5892" w:type="dxa"/>
            <w:vMerge w:val="restart"/>
            <w:tcBorders>
              <w:right w:val="single" w:sz="4" w:space="0" w:color="auto"/>
            </w:tcBorders>
          </w:tcPr>
          <w:p>
            <w:pPr>
              <w:shd w:val="clear" w:color="auto" w:fill="D9D9D9"/>
              <w:ind w:left="284"/>
              <w:rPr>
                <w:rFonts w:ascii="Arial" w:hAnsi="Arial"/>
                <w:b/>
                <w:sz w:val="20"/>
              </w:rPr>
            </w:pPr>
          </w:p>
          <w:p>
            <w:pPr>
              <w:shd w:val="clear" w:color="auto" w:fill="D9D9D9"/>
              <w:ind w:left="284"/>
              <w:rPr>
                <w:rFonts w:ascii="Arial" w:hAnsi="Arial"/>
                <w:b/>
                <w:sz w:val="20"/>
              </w:rPr>
            </w:pPr>
            <w:r>
              <w:rPr>
                <w:rFonts w:ascii="Arial" w:hAnsi="Arial"/>
                <w:b/>
                <w:sz w:val="20"/>
              </w:rPr>
              <w:t>Destinataires de la circulaire</w:t>
            </w:r>
          </w:p>
          <w:p>
            <w:pPr>
              <w:autoSpaceDE w:val="0"/>
              <w:autoSpaceDN w:val="0"/>
              <w:adjustRightInd w:val="0"/>
              <w:ind w:left="252"/>
              <w:rPr>
                <w:rFonts w:ascii="Arial" w:hAnsi="Arial"/>
                <w:sz w:val="16"/>
                <w:szCs w:val="16"/>
              </w:rPr>
            </w:pPr>
          </w:p>
          <w:p>
            <w:pPr>
              <w:rPr>
                <w:rFonts w:ascii="Arial" w:hAnsi="Arial"/>
                <w:sz w:val="16"/>
                <w:szCs w:val="16"/>
              </w:rPr>
            </w:pPr>
          </w:p>
          <w:p>
            <w:pPr>
              <w:tabs>
                <w:tab w:val="left" w:pos="1134"/>
              </w:tabs>
              <w:ind w:left="792" w:hanging="792"/>
              <w:rPr>
                <w:rFonts w:ascii="Arial" w:hAnsi="Arial" w:cs="Arial"/>
                <w:sz w:val="20"/>
              </w:rPr>
            </w:pPr>
            <w:r>
              <w:rPr>
                <w:rFonts w:ascii="Arial" w:hAnsi="Arial" w:cs="Arial"/>
                <w:sz w:val="20"/>
              </w:rPr>
              <w:t>À</w:t>
            </w:r>
            <w:r>
              <w:rPr>
                <w:rFonts w:ascii="Arial" w:hAnsi="Arial" w:cs="Arial"/>
                <w:sz w:val="20"/>
              </w:rPr>
              <w:tab/>
              <w:t>Madame la Ministre chargée de l’Education ;</w:t>
            </w:r>
          </w:p>
          <w:p>
            <w:pPr>
              <w:tabs>
                <w:tab w:val="left" w:pos="1134"/>
              </w:tabs>
              <w:ind w:left="792" w:hanging="792"/>
              <w:rPr>
                <w:rFonts w:ascii="Arial" w:hAnsi="Arial" w:cs="Arial"/>
                <w:sz w:val="20"/>
              </w:rPr>
            </w:pPr>
            <w:r>
              <w:rPr>
                <w:rFonts w:ascii="Arial" w:hAnsi="Arial" w:cs="Arial"/>
                <w:sz w:val="20"/>
              </w:rPr>
              <w:t>Aux</w:t>
            </w:r>
            <w:r>
              <w:rPr>
                <w:rFonts w:ascii="Arial" w:hAnsi="Arial" w:cs="Arial"/>
                <w:sz w:val="20"/>
              </w:rPr>
              <w:tab/>
              <w:t>Pouvoirs organisateurs des établissements de l’Enseignement secondaire subventionné par la Fédération Wallonie-Bruxelles ;</w:t>
            </w:r>
          </w:p>
          <w:p>
            <w:pPr>
              <w:tabs>
                <w:tab w:val="left" w:pos="1134"/>
              </w:tabs>
              <w:ind w:left="792" w:hanging="792"/>
              <w:rPr>
                <w:rFonts w:ascii="Arial" w:hAnsi="Arial" w:cs="Arial"/>
                <w:sz w:val="20"/>
              </w:rPr>
            </w:pPr>
            <w:r>
              <w:rPr>
                <w:rFonts w:ascii="Arial" w:hAnsi="Arial" w:cs="Arial"/>
                <w:sz w:val="20"/>
              </w:rPr>
              <w:t>Aux</w:t>
            </w:r>
            <w:r>
              <w:rPr>
                <w:rFonts w:ascii="Arial" w:hAnsi="Arial" w:cs="Arial"/>
                <w:sz w:val="20"/>
              </w:rPr>
              <w:tab/>
              <w:t>Chefs d’établissement des établissements de l’Enseignement secondaire organisé ou subventionné par la Fédération Wallonie-Bruxelles</w:t>
            </w:r>
          </w:p>
          <w:p>
            <w:pPr>
              <w:tabs>
                <w:tab w:val="left" w:pos="1134"/>
              </w:tabs>
              <w:jc w:val="both"/>
              <w:rPr>
                <w:rFonts w:ascii="Arial" w:hAnsi="Arial" w:cs="Arial"/>
                <w:sz w:val="16"/>
                <w:szCs w:val="16"/>
              </w:rPr>
            </w:pPr>
          </w:p>
          <w:p>
            <w:pPr>
              <w:tabs>
                <w:tab w:val="left" w:pos="1134"/>
              </w:tabs>
              <w:jc w:val="both"/>
              <w:rPr>
                <w:rFonts w:ascii="Arial" w:hAnsi="Arial" w:cs="Arial"/>
                <w:sz w:val="16"/>
                <w:szCs w:val="16"/>
              </w:rPr>
            </w:pPr>
          </w:p>
          <w:p>
            <w:pPr>
              <w:tabs>
                <w:tab w:val="left" w:pos="1134"/>
              </w:tabs>
              <w:jc w:val="both"/>
              <w:rPr>
                <w:rFonts w:ascii="Arial" w:hAnsi="Arial" w:cs="Arial"/>
                <w:bCs/>
                <w:i/>
                <w:iCs/>
                <w:sz w:val="20"/>
              </w:rPr>
            </w:pPr>
            <w:r>
              <w:rPr>
                <w:rFonts w:ascii="Arial" w:hAnsi="Arial" w:cs="Arial"/>
                <w:bCs/>
                <w:i/>
                <w:iCs/>
                <w:sz w:val="20"/>
                <w:u w:val="single"/>
              </w:rPr>
              <w:t>Pour information</w:t>
            </w:r>
            <w:r>
              <w:rPr>
                <w:rFonts w:ascii="Arial" w:hAnsi="Arial" w:cs="Arial"/>
                <w:bCs/>
                <w:i/>
                <w:iCs/>
                <w:sz w:val="20"/>
              </w:rPr>
              <w:t>:</w:t>
            </w:r>
          </w:p>
          <w:p>
            <w:pPr>
              <w:tabs>
                <w:tab w:val="left" w:pos="1134"/>
              </w:tabs>
              <w:ind w:left="2160" w:hanging="540"/>
              <w:jc w:val="both"/>
              <w:rPr>
                <w:rFonts w:ascii="Arial" w:hAnsi="Arial" w:cs="Arial"/>
                <w:sz w:val="16"/>
                <w:szCs w:val="16"/>
              </w:rPr>
            </w:pPr>
          </w:p>
          <w:p>
            <w:pPr>
              <w:tabs>
                <w:tab w:val="left" w:pos="1134"/>
              </w:tabs>
              <w:ind w:left="792" w:hanging="792"/>
              <w:rPr>
                <w:rFonts w:ascii="Arial" w:hAnsi="Arial" w:cs="Arial"/>
                <w:sz w:val="20"/>
              </w:rPr>
            </w:pPr>
            <w:r>
              <w:rPr>
                <w:rFonts w:ascii="Arial" w:hAnsi="Arial" w:cs="Arial"/>
                <w:sz w:val="20"/>
              </w:rPr>
              <w:t>Aux</w:t>
            </w:r>
            <w:r>
              <w:rPr>
                <w:rFonts w:ascii="Arial" w:hAnsi="Arial" w:cs="Arial"/>
                <w:sz w:val="20"/>
              </w:rPr>
              <w:tab/>
              <w:t>Membres du Service général de l’Inspection de l’enseignement secondaire ordinaire ;</w:t>
            </w:r>
          </w:p>
          <w:p>
            <w:pPr>
              <w:tabs>
                <w:tab w:val="left" w:pos="1134"/>
              </w:tabs>
              <w:ind w:left="792" w:hanging="792"/>
              <w:rPr>
                <w:rFonts w:ascii="Arial" w:hAnsi="Arial" w:cs="Arial"/>
                <w:sz w:val="20"/>
              </w:rPr>
            </w:pPr>
            <w:r>
              <w:rPr>
                <w:rFonts w:ascii="Arial" w:hAnsi="Arial" w:cs="Arial"/>
                <w:sz w:val="20"/>
              </w:rPr>
              <w:t>Aux</w:t>
            </w:r>
            <w:r>
              <w:rPr>
                <w:rFonts w:ascii="Arial" w:hAnsi="Arial" w:cs="Arial"/>
                <w:sz w:val="20"/>
              </w:rPr>
              <w:tab/>
              <w:t>Organisations syndicales ;</w:t>
            </w:r>
          </w:p>
          <w:p>
            <w:pPr>
              <w:tabs>
                <w:tab w:val="left" w:pos="1134"/>
              </w:tabs>
              <w:ind w:left="792" w:hanging="792"/>
              <w:rPr>
                <w:rFonts w:ascii="Arial" w:hAnsi="Arial" w:cs="Arial"/>
                <w:sz w:val="20"/>
              </w:rPr>
            </w:pPr>
            <w:r>
              <w:rPr>
                <w:rFonts w:ascii="Arial" w:hAnsi="Arial" w:cs="Arial"/>
                <w:sz w:val="20"/>
              </w:rPr>
              <w:t>Aux</w:t>
            </w:r>
            <w:r>
              <w:rPr>
                <w:rFonts w:ascii="Arial" w:hAnsi="Arial" w:cs="Arial"/>
                <w:sz w:val="20"/>
              </w:rPr>
              <w:tab/>
              <w:t>Organes de représentation et de coordination des Pouvoirs organisateurs ;</w:t>
            </w:r>
          </w:p>
          <w:p>
            <w:pPr>
              <w:tabs>
                <w:tab w:val="left" w:pos="1134"/>
              </w:tabs>
              <w:ind w:left="792" w:hanging="792"/>
              <w:rPr>
                <w:rFonts w:ascii="Arial" w:hAnsi="Arial" w:cs="Arial"/>
                <w:sz w:val="20"/>
              </w:rPr>
            </w:pPr>
            <w:r>
              <w:rPr>
                <w:rFonts w:ascii="Arial" w:hAnsi="Arial" w:cs="Arial"/>
                <w:sz w:val="20"/>
              </w:rPr>
              <w:t>Aux</w:t>
            </w:r>
            <w:r>
              <w:rPr>
                <w:rFonts w:ascii="Arial" w:hAnsi="Arial" w:cs="Arial"/>
                <w:sz w:val="20"/>
              </w:rPr>
              <w:tab/>
              <w:t>Fédérations d’associations de parents</w:t>
            </w:r>
          </w:p>
          <w:p>
            <w:pPr>
              <w:tabs>
                <w:tab w:val="left" w:pos="1134"/>
              </w:tabs>
              <w:ind w:left="792" w:hanging="792"/>
              <w:rPr>
                <w:rFonts w:ascii="Arial" w:hAnsi="Arial" w:cs="Arial"/>
                <w:sz w:val="20"/>
              </w:rPr>
            </w:pPr>
            <w:r>
              <w:rPr>
                <w:rFonts w:ascii="Arial" w:hAnsi="Arial" w:cs="Arial"/>
                <w:sz w:val="20"/>
              </w:rPr>
              <w:t>Au</w:t>
            </w:r>
            <w:r>
              <w:rPr>
                <w:rFonts w:ascii="Arial" w:hAnsi="Arial" w:cs="Arial"/>
                <w:sz w:val="20"/>
              </w:rPr>
              <w:tab/>
              <w:t>Service général de l’Enseignement organisé par la Fédération Wallonie-Bruxelles</w:t>
            </w:r>
          </w:p>
          <w:p>
            <w:pPr>
              <w:tabs>
                <w:tab w:val="left" w:pos="1134"/>
              </w:tabs>
              <w:ind w:left="792" w:hanging="792"/>
              <w:rPr>
                <w:rFonts w:ascii="Arial" w:hAnsi="Arial" w:cs="Arial"/>
                <w:sz w:val="20"/>
              </w:rPr>
            </w:pPr>
            <w:r>
              <w:rPr>
                <w:rFonts w:ascii="Arial" w:hAnsi="Arial" w:cs="Arial"/>
                <w:sz w:val="20"/>
              </w:rPr>
              <w:t>Aux</w:t>
            </w:r>
            <w:r>
              <w:rPr>
                <w:rFonts w:ascii="Arial" w:hAnsi="Arial" w:cs="Arial"/>
                <w:sz w:val="20"/>
              </w:rPr>
              <w:tab/>
              <w:t>Directions des écoles de l’Enseignement Secondaire Artistique à Horaire Réduit</w:t>
            </w:r>
          </w:p>
          <w:p>
            <w:pPr>
              <w:ind w:left="792" w:hanging="792"/>
              <w:rPr>
                <w:rFonts w:ascii="Arial" w:hAnsi="Arial"/>
                <w:sz w:val="20"/>
              </w:rPr>
            </w:pPr>
          </w:p>
          <w:p>
            <w:pPr>
              <w:rPr>
                <w:rFonts w:ascii="Arial" w:hAnsi="Arial"/>
                <w:sz w:val="20"/>
              </w:rPr>
            </w:pPr>
          </w:p>
        </w:tc>
        <w:tc>
          <w:tcPr>
            <w:tcW w:w="540" w:type="dxa"/>
            <w:tcBorders>
              <w:top w:val="nil"/>
              <w:left w:val="single" w:sz="4" w:space="0" w:color="auto"/>
              <w:bottom w:val="nil"/>
              <w:right w:val="nil"/>
            </w:tcBorders>
            <w:shd w:val="clear" w:color="auto" w:fill="auto"/>
          </w:tcPr>
          <w:p>
            <w:pPr>
              <w:tabs>
                <w:tab w:val="left" w:pos="1980"/>
                <w:tab w:val="left" w:pos="4500"/>
                <w:tab w:val="left" w:leader="dot" w:pos="8460"/>
              </w:tabs>
              <w:ind w:left="72"/>
              <w:rPr>
                <w:rFonts w:ascii="Verdana" w:hAnsi="Verdana"/>
                <w:sz w:val="18"/>
                <w:szCs w:val="18"/>
              </w:rPr>
            </w:pPr>
          </w:p>
        </w:tc>
      </w:tr>
      <w:tr>
        <w:trPr>
          <w:trHeight w:val="4135"/>
        </w:trPr>
        <w:tc>
          <w:tcPr>
            <w:tcW w:w="3936" w:type="dxa"/>
            <w:vMerge/>
            <w:tcBorders>
              <w:bottom w:val="single" w:sz="4" w:space="0" w:color="auto"/>
            </w:tcBorders>
          </w:tcPr>
          <w:p>
            <w:pPr>
              <w:shd w:val="clear" w:color="auto" w:fill="D9D9D9"/>
              <w:ind w:left="284"/>
              <w:rPr>
                <w:rFonts w:ascii="Arial" w:hAnsi="Arial"/>
                <w:b/>
                <w:sz w:val="20"/>
              </w:rPr>
            </w:pPr>
          </w:p>
        </w:tc>
        <w:tc>
          <w:tcPr>
            <w:tcW w:w="5892" w:type="dxa"/>
            <w:vMerge/>
            <w:tcBorders>
              <w:bottom w:val="single" w:sz="4" w:space="0" w:color="auto"/>
              <w:right w:val="single" w:sz="4" w:space="0" w:color="auto"/>
            </w:tcBorders>
          </w:tcPr>
          <w:p>
            <w:pPr>
              <w:shd w:val="clear" w:color="auto" w:fill="D9D9D9"/>
              <w:ind w:left="284"/>
              <w:rPr>
                <w:rFonts w:ascii="Arial" w:hAnsi="Arial"/>
                <w:b/>
                <w:sz w:val="20"/>
              </w:rPr>
            </w:pPr>
          </w:p>
        </w:tc>
        <w:tc>
          <w:tcPr>
            <w:tcW w:w="540" w:type="dxa"/>
            <w:vMerge w:val="restart"/>
            <w:tcBorders>
              <w:top w:val="nil"/>
              <w:left w:val="single" w:sz="4" w:space="0" w:color="auto"/>
              <w:bottom w:val="nil"/>
              <w:right w:val="nil"/>
            </w:tcBorders>
            <w:shd w:val="clear" w:color="auto" w:fill="auto"/>
          </w:tcPr>
          <w:p>
            <w:pPr>
              <w:tabs>
                <w:tab w:val="left" w:pos="1980"/>
                <w:tab w:val="left" w:pos="4500"/>
                <w:tab w:val="left" w:leader="dot" w:pos="8460"/>
              </w:tabs>
              <w:ind w:left="72"/>
              <w:rPr>
                <w:rFonts w:ascii="Verdana" w:hAnsi="Verdana"/>
                <w:sz w:val="18"/>
                <w:szCs w:val="18"/>
              </w:rPr>
            </w:pPr>
            <w:r>
              <w:rPr>
                <w:rFonts w:ascii="Verdana" w:hAnsi="Verdana"/>
                <w:noProof/>
                <w:sz w:val="18"/>
                <w:szCs w:val="18"/>
                <w:lang w:val="fr-BE" w:eastAsia="fr-BE"/>
              </w:rPr>
              <w:drawing>
                <wp:inline distT="0" distB="0" distL="0" distR="0">
                  <wp:extent cx="313690" cy="526415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3690" cy="5264150"/>
                          </a:xfrm>
                          <a:prstGeom prst="rect">
                            <a:avLst/>
                          </a:prstGeom>
                          <a:noFill/>
                          <a:ln>
                            <a:noFill/>
                          </a:ln>
                        </pic:spPr>
                      </pic:pic>
                    </a:graphicData>
                  </a:graphic>
                </wp:inline>
              </w:drawing>
            </w:r>
          </w:p>
        </w:tc>
      </w:tr>
      <w:tr>
        <w:trPr>
          <w:trHeight w:val="3526"/>
        </w:trPr>
        <w:tc>
          <w:tcPr>
            <w:tcW w:w="9828" w:type="dxa"/>
            <w:gridSpan w:val="2"/>
            <w:tcBorders>
              <w:top w:val="single" w:sz="4" w:space="0" w:color="auto"/>
              <w:left w:val="nil"/>
              <w:bottom w:val="nil"/>
              <w:right w:val="nil"/>
            </w:tcBorders>
            <w:shd w:val="clear" w:color="auto" w:fill="auto"/>
          </w:tcPr>
          <w:p>
            <w:pPr>
              <w:shd w:val="clear" w:color="auto" w:fill="D9D9D9"/>
              <w:tabs>
                <w:tab w:val="left" w:pos="252"/>
                <w:tab w:val="left" w:pos="1980"/>
                <w:tab w:val="left" w:pos="4500"/>
                <w:tab w:val="left" w:leader="dot" w:pos="8460"/>
              </w:tabs>
              <w:ind w:right="72"/>
              <w:rPr>
                <w:rFonts w:ascii="Arial" w:hAnsi="Arial"/>
                <w:b/>
                <w:sz w:val="20"/>
              </w:rPr>
            </w:pPr>
          </w:p>
          <w:p>
            <w:pPr>
              <w:shd w:val="clear" w:color="auto" w:fill="D9D9D9"/>
              <w:tabs>
                <w:tab w:val="left" w:pos="252"/>
                <w:tab w:val="left" w:pos="1980"/>
                <w:tab w:val="left" w:pos="4500"/>
                <w:tab w:val="left" w:leader="dot" w:pos="8460"/>
              </w:tabs>
              <w:ind w:right="72"/>
              <w:rPr>
                <w:rFonts w:ascii="Arial" w:hAnsi="Arial"/>
                <w:sz w:val="20"/>
              </w:rPr>
            </w:pPr>
            <w:r>
              <w:rPr>
                <w:rFonts w:ascii="Arial" w:hAnsi="Arial"/>
                <w:b/>
                <w:sz w:val="20"/>
              </w:rPr>
              <w:t>Signataire</w:t>
            </w:r>
          </w:p>
          <w:tbl>
            <w:tblPr>
              <w:tblW w:w="9639" w:type="dxa"/>
              <w:tblInd w:w="29" w:type="dxa"/>
              <w:tblLayout w:type="fixed"/>
              <w:tblLook w:val="01E0" w:firstRow="1" w:lastRow="1" w:firstColumn="1" w:lastColumn="1" w:noHBand="0" w:noVBand="0"/>
            </w:tblPr>
            <w:tblGrid>
              <w:gridCol w:w="1692"/>
              <w:gridCol w:w="7947"/>
            </w:tblGrid>
            <w:tr>
              <w:tc>
                <w:tcPr>
                  <w:tcW w:w="1692" w:type="dxa"/>
                </w:tcPr>
                <w:p>
                  <w:pPr>
                    <w:tabs>
                      <w:tab w:val="left" w:pos="4500"/>
                      <w:tab w:val="left" w:leader="dot" w:pos="8460"/>
                    </w:tabs>
                    <w:rPr>
                      <w:rFonts w:ascii="Arial" w:hAnsi="Arial" w:cs="Arial"/>
                      <w:sz w:val="22"/>
                      <w:szCs w:val="22"/>
                    </w:rPr>
                  </w:pPr>
                  <w:r>
                    <w:rPr>
                      <w:rFonts w:ascii="Arial" w:hAnsi="Arial" w:cs="Arial"/>
                      <w:sz w:val="22"/>
                      <w:szCs w:val="22"/>
                    </w:rPr>
                    <w:t>Ministre/Administration :</w:t>
                  </w:r>
                </w:p>
              </w:tc>
              <w:tc>
                <w:tcPr>
                  <w:tcW w:w="7947" w:type="dxa"/>
                </w:tcPr>
                <w:p>
                  <w:pPr>
                    <w:tabs>
                      <w:tab w:val="left" w:pos="4500"/>
                      <w:tab w:val="left" w:leader="dot" w:pos="8460"/>
                    </w:tabs>
                    <w:snapToGrid w:val="0"/>
                    <w:rPr>
                      <w:rFonts w:ascii="Arial" w:hAnsi="Arial" w:cs="Arial"/>
                      <w:color w:val="000000"/>
                      <w:sz w:val="20"/>
                      <w:szCs w:val="20"/>
                    </w:rPr>
                  </w:pPr>
                  <w:r>
                    <w:rPr>
                      <w:rFonts w:ascii="Arial" w:hAnsi="Arial" w:cs="Arial"/>
                      <w:color w:val="000000"/>
                      <w:sz w:val="20"/>
                      <w:szCs w:val="20"/>
                    </w:rPr>
                    <w:t>Cabinet de Madame la Ministre de l’Education</w:t>
                  </w:r>
                </w:p>
                <w:p>
                  <w:pPr>
                    <w:tabs>
                      <w:tab w:val="left" w:pos="4500"/>
                      <w:tab w:val="left" w:leader="dot" w:pos="8460"/>
                    </w:tabs>
                    <w:rPr>
                      <w:rFonts w:ascii="Arial" w:hAnsi="Arial" w:cs="Arial"/>
                      <w:color w:val="000000"/>
                      <w:sz w:val="22"/>
                      <w:szCs w:val="22"/>
                    </w:rPr>
                  </w:pPr>
                  <w:r>
                    <w:rPr>
                      <w:rFonts w:ascii="Arial" w:hAnsi="Arial" w:cs="Arial"/>
                      <w:color w:val="000000"/>
                      <w:sz w:val="20"/>
                      <w:szCs w:val="20"/>
                    </w:rPr>
                    <w:t>Madame Marie-Martine SCHYNS</w:t>
                  </w:r>
                </w:p>
              </w:tc>
            </w:tr>
          </w:tbl>
          <w:p>
            <w:pPr>
              <w:tabs>
                <w:tab w:val="left" w:pos="2700"/>
                <w:tab w:val="left" w:leader="dot" w:pos="9540"/>
              </w:tabs>
              <w:ind w:left="284"/>
              <w:rPr>
                <w:rFonts w:ascii="Arial" w:hAnsi="Arial"/>
                <w:sz w:val="16"/>
                <w:szCs w:val="16"/>
              </w:rPr>
            </w:pPr>
          </w:p>
          <w:p>
            <w:pPr>
              <w:shd w:val="clear" w:color="auto" w:fill="D9D9D9"/>
              <w:ind w:right="72"/>
              <w:rPr>
                <w:rFonts w:ascii="Arial" w:hAnsi="Arial"/>
                <w:b/>
                <w:sz w:val="20"/>
              </w:rPr>
            </w:pPr>
          </w:p>
          <w:p>
            <w:pPr>
              <w:shd w:val="clear" w:color="auto" w:fill="D9D9D9"/>
              <w:ind w:right="72"/>
              <w:rPr>
                <w:rFonts w:ascii="Arial" w:hAnsi="Arial"/>
                <w:sz w:val="20"/>
              </w:rPr>
            </w:pPr>
            <w:r>
              <w:rPr>
                <w:rFonts w:ascii="Arial" w:hAnsi="Arial"/>
                <w:b/>
                <w:sz w:val="20"/>
              </w:rPr>
              <w:t>Personnes de contact</w:t>
            </w:r>
          </w:p>
          <w:tbl>
            <w:tblPr>
              <w:tblW w:w="0" w:type="auto"/>
              <w:tblInd w:w="29" w:type="dxa"/>
              <w:tblLayout w:type="fixed"/>
              <w:tblLook w:val="01E0" w:firstRow="1" w:lastRow="1" w:firstColumn="1" w:lastColumn="1" w:noHBand="0" w:noVBand="0"/>
            </w:tblPr>
            <w:tblGrid>
              <w:gridCol w:w="1692"/>
              <w:gridCol w:w="7805"/>
            </w:tblGrid>
            <w:tr>
              <w:tc>
                <w:tcPr>
                  <w:tcW w:w="1692" w:type="dxa"/>
                </w:tcPr>
                <w:p>
                  <w:pPr>
                    <w:tabs>
                      <w:tab w:val="left" w:pos="4500"/>
                      <w:tab w:val="left" w:leader="dot" w:pos="8460"/>
                    </w:tabs>
                    <w:rPr>
                      <w:rFonts w:ascii="Arial" w:hAnsi="Arial"/>
                      <w:b/>
                      <w:sz w:val="16"/>
                      <w:szCs w:val="16"/>
                    </w:rPr>
                  </w:pPr>
                </w:p>
                <w:p>
                  <w:pPr>
                    <w:tabs>
                      <w:tab w:val="left" w:pos="4500"/>
                      <w:tab w:val="left" w:leader="dot" w:pos="8460"/>
                    </w:tabs>
                    <w:rPr>
                      <w:rFonts w:ascii="Arial" w:hAnsi="Arial"/>
                      <w:b/>
                      <w:sz w:val="20"/>
                    </w:rPr>
                  </w:pPr>
                  <w:r>
                    <w:rPr>
                      <w:rFonts w:ascii="Arial" w:hAnsi="Arial"/>
                      <w:b/>
                      <w:sz w:val="20"/>
                    </w:rPr>
                    <w:t>Gestionnaire</w:t>
                  </w:r>
                </w:p>
                <w:p>
                  <w:pPr>
                    <w:tabs>
                      <w:tab w:val="left" w:pos="4500"/>
                      <w:tab w:val="left" w:leader="dot" w:pos="8460"/>
                    </w:tabs>
                    <w:rPr>
                      <w:rFonts w:ascii="Arial" w:hAnsi="Arial"/>
                      <w:b/>
                      <w:sz w:val="20"/>
                    </w:rPr>
                  </w:pPr>
                </w:p>
                <w:p>
                  <w:pPr>
                    <w:tabs>
                      <w:tab w:val="left" w:pos="4500"/>
                      <w:tab w:val="left" w:leader="dot" w:pos="8460"/>
                    </w:tabs>
                    <w:rPr>
                      <w:rFonts w:ascii="Arial" w:hAnsi="Arial"/>
                      <w:b/>
                      <w:sz w:val="20"/>
                    </w:rPr>
                  </w:pPr>
                </w:p>
                <w:p>
                  <w:pPr>
                    <w:tabs>
                      <w:tab w:val="left" w:pos="4500"/>
                      <w:tab w:val="left" w:leader="dot" w:pos="8460"/>
                    </w:tabs>
                    <w:rPr>
                      <w:rFonts w:ascii="Arial" w:hAnsi="Arial"/>
                      <w:b/>
                      <w:sz w:val="20"/>
                    </w:rPr>
                  </w:pPr>
                </w:p>
                <w:p>
                  <w:pPr>
                    <w:tabs>
                      <w:tab w:val="left" w:pos="4500"/>
                      <w:tab w:val="left" w:leader="dot" w:pos="8460"/>
                    </w:tabs>
                    <w:rPr>
                      <w:rFonts w:ascii="Arial" w:hAnsi="Arial"/>
                      <w:b/>
                      <w:sz w:val="20"/>
                    </w:rPr>
                  </w:pPr>
                  <w:r>
                    <w:rPr>
                      <w:rFonts w:ascii="Arial" w:hAnsi="Arial"/>
                      <w:b/>
                      <w:sz w:val="20"/>
                    </w:rPr>
                    <w:t>Personnes ressources</w:t>
                  </w:r>
                </w:p>
              </w:tc>
              <w:tc>
                <w:tcPr>
                  <w:tcW w:w="7805" w:type="dxa"/>
                </w:tcPr>
                <w:p>
                  <w:pPr>
                    <w:tabs>
                      <w:tab w:val="left" w:pos="4500"/>
                      <w:tab w:val="left" w:leader="dot" w:pos="8460"/>
                    </w:tabs>
                    <w:rPr>
                      <w:rFonts w:ascii="Arial" w:hAnsi="Arial"/>
                      <w:b/>
                      <w:sz w:val="16"/>
                      <w:szCs w:val="16"/>
                    </w:rPr>
                  </w:pPr>
                </w:p>
                <w:p>
                  <w:pPr>
                    <w:tabs>
                      <w:tab w:val="left" w:pos="4500"/>
                      <w:tab w:val="left" w:leader="dot" w:pos="8460"/>
                    </w:tabs>
                    <w:rPr>
                      <w:rFonts w:ascii="Arial" w:hAnsi="Arial"/>
                      <w:sz w:val="20"/>
                    </w:rPr>
                  </w:pPr>
                  <w:r>
                    <w:rPr>
                      <w:rFonts w:ascii="Arial" w:hAnsi="Arial"/>
                      <w:sz w:val="20"/>
                    </w:rPr>
                    <w:t xml:space="preserve">Direction de l’organisation des établissements d’enseignement secondaire ordinaire organisés et subventionnés par la Fédération Wallonie-Bruxelles.  </w:t>
                  </w:r>
                </w:p>
                <w:p>
                  <w:pPr>
                    <w:tabs>
                      <w:tab w:val="left" w:pos="4500"/>
                      <w:tab w:val="left" w:leader="dot" w:pos="8460"/>
                    </w:tabs>
                    <w:rPr>
                      <w:rFonts w:ascii="Arial" w:hAnsi="Arial"/>
                      <w:sz w:val="20"/>
                    </w:rPr>
                  </w:pPr>
                  <w:r>
                    <w:rPr>
                      <w:rFonts w:ascii="Arial" w:hAnsi="Arial"/>
                      <w:sz w:val="20"/>
                    </w:rPr>
                    <w:t>Monsieur Vincent Winkin, chargé de mission, responsable de Direction.</w:t>
                  </w:r>
                </w:p>
                <w:p>
                  <w:pPr>
                    <w:tabs>
                      <w:tab w:val="left" w:pos="4500"/>
                      <w:tab w:val="left" w:leader="dot" w:pos="8460"/>
                    </w:tabs>
                    <w:rPr>
                      <w:rFonts w:ascii="Arial" w:hAnsi="Arial"/>
                      <w:sz w:val="20"/>
                    </w:rPr>
                  </w:pPr>
                </w:p>
                <w:p>
                  <w:pPr>
                    <w:tabs>
                      <w:tab w:val="left" w:pos="4500"/>
                      <w:tab w:val="left" w:leader="dot" w:pos="8460"/>
                    </w:tabs>
                    <w:rPr>
                      <w:rFonts w:ascii="Arial" w:hAnsi="Arial" w:cs="Arial"/>
                      <w:sz w:val="20"/>
                      <w:szCs w:val="20"/>
                    </w:rPr>
                  </w:pPr>
                  <w:r>
                    <w:rPr>
                      <w:rFonts w:ascii="Arial" w:hAnsi="Arial" w:cs="Arial"/>
                      <w:sz w:val="20"/>
                      <w:szCs w:val="20"/>
                    </w:rPr>
                    <w:t xml:space="preserve">Monsieur Miguel MAGERAT, Attaché, 02/690 84 51 – </w:t>
                  </w:r>
                  <w:hyperlink r:id="rId11" w:history="1">
                    <w:r>
                      <w:rPr>
                        <w:rStyle w:val="Lienhypertexte"/>
                        <w:rFonts w:ascii="Arial" w:hAnsi="Arial" w:cs="Arial"/>
                        <w:sz w:val="20"/>
                        <w:szCs w:val="20"/>
                      </w:rPr>
                      <w:t>miguel.magerat@cfwb.be</w:t>
                    </w:r>
                  </w:hyperlink>
                </w:p>
                <w:p>
                  <w:pPr>
                    <w:tabs>
                      <w:tab w:val="left" w:pos="4500"/>
                      <w:tab w:val="left" w:leader="dot" w:pos="8460"/>
                    </w:tabs>
                    <w:rPr>
                      <w:rFonts w:ascii="Arial" w:hAnsi="Arial" w:cs="Arial"/>
                      <w:sz w:val="20"/>
                      <w:szCs w:val="20"/>
                    </w:rPr>
                  </w:pPr>
                  <w:r>
                    <w:rPr>
                      <w:rFonts w:ascii="Arial" w:hAnsi="Arial" w:cs="Arial"/>
                      <w:sz w:val="20"/>
                      <w:szCs w:val="20"/>
                    </w:rPr>
                    <w:t xml:space="preserve">Monsieur Vincent WINKIN, Chargé de mission, 02/690 86 06 – </w:t>
                  </w:r>
                  <w:hyperlink r:id="rId12" w:history="1">
                    <w:r>
                      <w:rPr>
                        <w:rStyle w:val="Lienhypertexte"/>
                        <w:rFonts w:ascii="Arial" w:hAnsi="Arial" w:cs="Arial"/>
                        <w:sz w:val="20"/>
                        <w:szCs w:val="20"/>
                      </w:rPr>
                      <w:t>vincent.winkin@cfwb.be</w:t>
                    </w:r>
                  </w:hyperlink>
                </w:p>
                <w:p>
                  <w:pPr>
                    <w:tabs>
                      <w:tab w:val="left" w:pos="4500"/>
                      <w:tab w:val="left" w:leader="dot" w:pos="8460"/>
                    </w:tabs>
                    <w:rPr>
                      <w:rFonts w:ascii="Arial" w:hAnsi="Arial" w:cs="Arial"/>
                      <w:sz w:val="20"/>
                      <w:szCs w:val="20"/>
                    </w:rPr>
                  </w:pPr>
                </w:p>
              </w:tc>
            </w:tr>
          </w:tbl>
          <w:p>
            <w:pPr>
              <w:rPr>
                <w:rFonts w:ascii="Arial" w:hAnsi="Arial"/>
                <w:b/>
                <w:sz w:val="20"/>
              </w:rPr>
            </w:pPr>
          </w:p>
        </w:tc>
        <w:tc>
          <w:tcPr>
            <w:tcW w:w="540" w:type="dxa"/>
            <w:vMerge/>
            <w:tcBorders>
              <w:top w:val="nil"/>
              <w:left w:val="nil"/>
              <w:bottom w:val="nil"/>
              <w:right w:val="nil"/>
            </w:tcBorders>
            <w:shd w:val="clear" w:color="auto" w:fill="auto"/>
          </w:tcPr>
          <w:p>
            <w:pPr>
              <w:tabs>
                <w:tab w:val="left" w:pos="1980"/>
                <w:tab w:val="left" w:pos="4500"/>
                <w:tab w:val="left" w:leader="dot" w:pos="8460"/>
              </w:tabs>
              <w:ind w:left="72"/>
              <w:rPr>
                <w:rFonts w:ascii="Verdana" w:hAnsi="Verdana"/>
                <w:sz w:val="18"/>
                <w:szCs w:val="18"/>
              </w:rPr>
            </w:pPr>
          </w:p>
        </w:tc>
      </w:tr>
    </w:tbl>
    <w:p>
      <w:pPr>
        <w:jc w:val="both"/>
        <w:rPr>
          <w:rFonts w:ascii="Arial" w:hAnsi="Arial" w:cs="Arial"/>
          <w:sz w:val="20"/>
        </w:rPr>
        <w:sectPr>
          <w:footerReference w:type="default" r:id="rId13"/>
          <w:pgSz w:w="11906" w:h="16838"/>
          <w:pgMar w:top="1417" w:right="1417" w:bottom="709" w:left="1417" w:header="708" w:footer="708" w:gutter="0"/>
          <w:cols w:space="708"/>
          <w:docGrid w:linePitch="360"/>
        </w:sectPr>
      </w:pPr>
    </w:p>
    <w:p>
      <w:pPr>
        <w:jc w:val="both"/>
        <w:rPr>
          <w:rFonts w:asciiTheme="minorHAnsi" w:hAnsiTheme="minorHAnsi" w:cstheme="minorHAnsi"/>
          <w:sz w:val="22"/>
        </w:rPr>
      </w:pPr>
      <w:r>
        <w:rPr>
          <w:rFonts w:asciiTheme="minorHAnsi" w:hAnsiTheme="minorHAnsi" w:cstheme="minorHAnsi"/>
          <w:sz w:val="22"/>
        </w:rPr>
        <w:lastRenderedPageBreak/>
        <w:t>Madame, Monsieur,</w:t>
      </w:r>
    </w:p>
    <w:p>
      <w:pPr>
        <w:jc w:val="both"/>
        <w:rPr>
          <w:rFonts w:asciiTheme="minorHAnsi" w:hAnsiTheme="minorHAnsi" w:cstheme="minorHAnsi"/>
          <w:sz w:val="22"/>
        </w:rPr>
      </w:pPr>
    </w:p>
    <w:p>
      <w:pPr>
        <w:jc w:val="both"/>
        <w:rPr>
          <w:rFonts w:asciiTheme="minorHAnsi" w:hAnsiTheme="minorHAnsi" w:cstheme="minorHAnsi"/>
          <w:sz w:val="22"/>
        </w:rPr>
      </w:pPr>
      <w:r>
        <w:rPr>
          <w:rFonts w:asciiTheme="minorHAnsi" w:hAnsiTheme="minorHAnsi" w:cstheme="minorHAnsi"/>
          <w:sz w:val="22"/>
        </w:rPr>
        <w:t>Le cycle de l’encadrement différencié 2011-2015, prolongé en 2015-2016 et en 2016-2017, est désormais remplacé par un calcul annuel de l’indice socioéconomique des implantations. Dès lors, le classement et l’affectation des moyens et des périodes complémentaires y afférents, seront, eux aussi, calculés annuellement.</w:t>
      </w:r>
    </w:p>
    <w:p>
      <w:pPr>
        <w:jc w:val="both"/>
        <w:rPr>
          <w:rFonts w:asciiTheme="minorHAnsi" w:hAnsiTheme="minorHAnsi" w:cstheme="minorHAnsi"/>
          <w:sz w:val="22"/>
        </w:rPr>
      </w:pPr>
    </w:p>
    <w:p>
      <w:pPr>
        <w:jc w:val="both"/>
        <w:rPr>
          <w:rFonts w:asciiTheme="minorHAnsi" w:hAnsiTheme="minorHAnsi" w:cstheme="minorHAnsi"/>
          <w:sz w:val="22"/>
        </w:rPr>
      </w:pPr>
      <w:r>
        <w:rPr>
          <w:rFonts w:asciiTheme="minorHAnsi" w:hAnsiTheme="minorHAnsi" w:cstheme="minorHAnsi"/>
          <w:sz w:val="22"/>
        </w:rPr>
        <w:t>La présente circulaire s’adresse aux équipes éducatives des implantations d’enseignement secondaire bénéficiaires de l’encadrement différencié.</w:t>
      </w:r>
    </w:p>
    <w:p>
      <w:pPr>
        <w:jc w:val="both"/>
        <w:rPr>
          <w:rFonts w:asciiTheme="minorHAnsi" w:hAnsiTheme="minorHAnsi" w:cstheme="minorHAnsi"/>
          <w:sz w:val="22"/>
        </w:rPr>
      </w:pPr>
    </w:p>
    <w:p>
      <w:pPr>
        <w:jc w:val="both"/>
        <w:rPr>
          <w:rFonts w:asciiTheme="minorHAnsi" w:hAnsiTheme="minorHAnsi" w:cstheme="minorHAnsi"/>
          <w:sz w:val="22"/>
        </w:rPr>
      </w:pPr>
      <w:r>
        <w:rPr>
          <w:rFonts w:asciiTheme="minorHAnsi" w:hAnsiTheme="minorHAnsi" w:cstheme="minorHAnsi"/>
          <w:sz w:val="22"/>
        </w:rPr>
        <w:t xml:space="preserve">Elle reprend les nouvelles dispositions applicables à partir de l’année scolaire 2017-2018 en matière de calcul des indices socioéconomiques, d’octroi et d’utilisation des moyens alloués, ainsi que de rédaction du PGAED et de son rapport de suivi. </w:t>
      </w:r>
    </w:p>
    <w:p>
      <w:pPr>
        <w:jc w:val="both"/>
        <w:rPr>
          <w:rFonts w:asciiTheme="minorHAnsi" w:hAnsiTheme="minorHAnsi" w:cstheme="minorHAnsi"/>
          <w:sz w:val="22"/>
          <w:highlight w:val="yellow"/>
        </w:rPr>
      </w:pPr>
    </w:p>
    <w:p>
      <w:pPr>
        <w:jc w:val="both"/>
        <w:rPr>
          <w:rFonts w:asciiTheme="minorHAnsi" w:hAnsiTheme="minorHAnsi" w:cstheme="minorHAnsi"/>
          <w:sz w:val="22"/>
        </w:rPr>
      </w:pPr>
      <w:r>
        <w:rPr>
          <w:rFonts w:asciiTheme="minorHAnsi" w:hAnsiTheme="minorHAnsi" w:cstheme="minorHAnsi"/>
          <w:sz w:val="22"/>
        </w:rPr>
        <w:t xml:space="preserve">Les modalités relatives au classement des implantations et au calcul, ainsi qu’à l’octroi des moyens et des périodes complémentaires, font l’objet d’un projet de décret modifiant le décret du 30 avril 2009 organisant un encadrement différencié au sein des établissements scolaires. Ce projet de décret a été adopté le 6 juin 2017 par la Commission de l’Education du Parlement de la Communauté française et doit encore être adopté par le Parlement en séance plénière. </w:t>
      </w:r>
      <w:r>
        <w:rPr>
          <w:rFonts w:asciiTheme="minorHAnsi" w:hAnsiTheme="minorHAnsi" w:cstheme="minorHAnsi"/>
          <w:b/>
          <w:sz w:val="22"/>
        </w:rPr>
        <w:t>Les dispositions décrites doivent donc être lues avec les réserves qui s’imposent.</w:t>
      </w:r>
    </w:p>
    <w:p>
      <w:pPr>
        <w:shd w:val="clear" w:color="auto" w:fill="FFFFFF" w:themeFill="background1"/>
        <w:jc w:val="both"/>
        <w:rPr>
          <w:rFonts w:asciiTheme="minorHAnsi" w:hAnsiTheme="minorHAnsi" w:cstheme="minorHAnsi"/>
          <w:sz w:val="22"/>
        </w:rPr>
      </w:pPr>
    </w:p>
    <w:p>
      <w:pPr>
        <w:jc w:val="both"/>
        <w:rPr>
          <w:rFonts w:asciiTheme="minorHAnsi" w:hAnsiTheme="minorHAnsi" w:cstheme="minorHAnsi"/>
          <w:sz w:val="22"/>
        </w:rPr>
      </w:pPr>
      <w:r>
        <w:rPr>
          <w:rFonts w:asciiTheme="minorHAnsi" w:hAnsiTheme="minorHAnsi" w:cstheme="minorHAnsi"/>
          <w:sz w:val="22"/>
        </w:rPr>
        <w:t>Pour rappel, l’attribution objective et proportionnée de moyens d’encadrement et de moyens financiers complémentaires à certaines implantations de l’enseignement ordinaire est réalisée sur la base de critères socioéconomiques objectifs. Ces moyens doivent servir à y promouvoir des actions pédagogiques complémentaires destinées à atteindre plus efficacement et plus équitablement les objectifs du décret « missions »</w:t>
      </w:r>
      <w:r>
        <w:rPr>
          <w:rStyle w:val="Appelnotedebasdep"/>
          <w:rFonts w:asciiTheme="minorHAnsi" w:hAnsiTheme="minorHAnsi" w:cstheme="minorHAnsi"/>
          <w:sz w:val="22"/>
        </w:rPr>
        <w:footnoteReference w:id="1"/>
      </w:r>
      <w:r>
        <w:rPr>
          <w:rFonts w:asciiTheme="minorHAnsi" w:hAnsiTheme="minorHAnsi" w:cstheme="minorHAnsi"/>
          <w:sz w:val="22"/>
        </w:rPr>
        <w:t>.</w:t>
      </w:r>
    </w:p>
    <w:p>
      <w:pPr>
        <w:spacing w:after="120"/>
        <w:jc w:val="both"/>
        <w:rPr>
          <w:rFonts w:asciiTheme="minorHAnsi" w:hAnsiTheme="minorHAnsi" w:cstheme="minorHAnsi"/>
          <w:sz w:val="22"/>
        </w:rPr>
      </w:pPr>
      <w:r>
        <w:rPr>
          <w:rFonts w:asciiTheme="minorHAnsi" w:hAnsiTheme="minorHAnsi" w:cstheme="minorHAnsi"/>
          <w:sz w:val="22"/>
        </w:rPr>
        <w:t>Par actions pédagogiques complémentaires, il y a lieu d’entendre les initiatives visant :</w:t>
      </w:r>
    </w:p>
    <w:p>
      <w:pPr>
        <w:pStyle w:val="Paragraphedeliste"/>
        <w:numPr>
          <w:ilvl w:val="0"/>
          <w:numId w:val="47"/>
        </w:numPr>
        <w:spacing w:after="120"/>
        <w:ind w:left="714" w:hanging="357"/>
        <w:contextualSpacing w:val="0"/>
        <w:jc w:val="both"/>
        <w:rPr>
          <w:rFonts w:asciiTheme="minorHAnsi" w:hAnsiTheme="minorHAnsi" w:cstheme="minorHAnsi"/>
          <w:sz w:val="22"/>
        </w:rPr>
      </w:pPr>
      <w:r>
        <w:rPr>
          <w:rFonts w:asciiTheme="minorHAnsi" w:hAnsiTheme="minorHAnsi" w:cstheme="minorHAnsi"/>
          <w:sz w:val="22"/>
        </w:rPr>
        <w:t>À renforcer la maîtrise des apprentissages de base, et de la langue française en particulier, par tous les élèves ;</w:t>
      </w:r>
    </w:p>
    <w:p>
      <w:pPr>
        <w:pStyle w:val="Paragraphedeliste"/>
        <w:numPr>
          <w:ilvl w:val="0"/>
          <w:numId w:val="47"/>
        </w:numPr>
        <w:spacing w:after="120"/>
        <w:ind w:left="714" w:hanging="357"/>
        <w:contextualSpacing w:val="0"/>
        <w:jc w:val="both"/>
        <w:rPr>
          <w:rFonts w:asciiTheme="minorHAnsi" w:hAnsiTheme="minorHAnsi" w:cstheme="minorHAnsi"/>
          <w:sz w:val="22"/>
        </w:rPr>
      </w:pPr>
      <w:r>
        <w:rPr>
          <w:rFonts w:asciiTheme="minorHAnsi" w:hAnsiTheme="minorHAnsi" w:cstheme="minorHAnsi"/>
          <w:sz w:val="22"/>
        </w:rPr>
        <w:t>À lutter contre l’échec, le redoublement et le retard scolaires ;</w:t>
      </w:r>
    </w:p>
    <w:p>
      <w:pPr>
        <w:pStyle w:val="Paragraphedeliste"/>
        <w:numPr>
          <w:ilvl w:val="0"/>
          <w:numId w:val="47"/>
        </w:numPr>
        <w:spacing w:after="120"/>
        <w:ind w:left="714" w:hanging="357"/>
        <w:contextualSpacing w:val="0"/>
        <w:jc w:val="both"/>
        <w:rPr>
          <w:rFonts w:asciiTheme="minorHAnsi" w:hAnsiTheme="minorHAnsi" w:cstheme="minorHAnsi"/>
          <w:sz w:val="22"/>
        </w:rPr>
      </w:pPr>
      <w:r>
        <w:rPr>
          <w:rFonts w:asciiTheme="minorHAnsi" w:hAnsiTheme="minorHAnsi" w:cstheme="minorHAnsi"/>
          <w:sz w:val="22"/>
        </w:rPr>
        <w:t>À favoriser la détection rapide des difficultés scolaires, l’organisation de la remédiation immédiate et la mise en œuvre de pédagogies différenciées ;</w:t>
      </w:r>
    </w:p>
    <w:p>
      <w:pPr>
        <w:pStyle w:val="Paragraphedeliste"/>
        <w:numPr>
          <w:ilvl w:val="0"/>
          <w:numId w:val="47"/>
        </w:numPr>
        <w:jc w:val="both"/>
        <w:rPr>
          <w:rFonts w:asciiTheme="minorHAnsi" w:hAnsiTheme="minorHAnsi" w:cstheme="minorHAnsi"/>
          <w:sz w:val="22"/>
        </w:rPr>
      </w:pPr>
      <w:r>
        <w:rPr>
          <w:rFonts w:asciiTheme="minorHAnsi" w:hAnsiTheme="minorHAnsi" w:cstheme="minorHAnsi"/>
          <w:sz w:val="22"/>
        </w:rPr>
        <w:t>À prévenir le décrochage scolaire et, ce faisant, les éventuels phénomènes d’incivilités et de violence.</w:t>
      </w:r>
    </w:p>
    <w:p>
      <w:pPr>
        <w:shd w:val="clear" w:color="auto" w:fill="FFFFFF" w:themeFill="background1"/>
        <w:spacing w:before="240"/>
        <w:jc w:val="both"/>
        <w:rPr>
          <w:rFonts w:asciiTheme="minorHAnsi" w:hAnsiTheme="minorHAnsi" w:cstheme="minorHAnsi"/>
          <w:sz w:val="22"/>
        </w:rPr>
      </w:pPr>
      <w:r>
        <w:rPr>
          <w:rFonts w:asciiTheme="minorHAnsi" w:hAnsiTheme="minorHAnsi" w:cstheme="minorHAnsi"/>
          <w:sz w:val="22"/>
        </w:rPr>
        <w:t>Je vous remercie de l’attention que vous porterez à la présente circulaire et vous en souhaite bonne lecture.</w:t>
      </w:r>
    </w:p>
    <w:p>
      <w:pPr>
        <w:jc w:val="both"/>
        <w:rPr>
          <w:rFonts w:asciiTheme="minorHAnsi" w:hAnsiTheme="minorHAnsi" w:cstheme="minorHAnsi"/>
          <w:sz w:val="22"/>
        </w:rPr>
      </w:pPr>
    </w:p>
    <w:p>
      <w:pPr>
        <w:jc w:val="both"/>
        <w:rPr>
          <w:rFonts w:asciiTheme="minorHAnsi" w:hAnsiTheme="minorHAnsi" w:cstheme="minorHAnsi"/>
          <w:sz w:val="22"/>
        </w:rPr>
      </w:pPr>
    </w:p>
    <w:p>
      <w:pPr>
        <w:ind w:left="4860"/>
        <w:jc w:val="both"/>
        <w:rPr>
          <w:rFonts w:asciiTheme="minorHAnsi" w:hAnsiTheme="minorHAnsi" w:cstheme="minorHAnsi"/>
          <w:sz w:val="22"/>
        </w:rPr>
      </w:pPr>
      <w:r>
        <w:rPr>
          <w:rFonts w:asciiTheme="minorHAnsi" w:hAnsiTheme="minorHAnsi" w:cstheme="minorHAnsi"/>
          <w:sz w:val="22"/>
        </w:rPr>
        <w:t>La Ministre,</w:t>
      </w:r>
    </w:p>
    <w:p>
      <w:pPr>
        <w:ind w:left="4860"/>
        <w:jc w:val="both"/>
        <w:rPr>
          <w:rFonts w:asciiTheme="minorHAnsi" w:hAnsiTheme="minorHAnsi" w:cstheme="minorHAnsi"/>
          <w:sz w:val="22"/>
        </w:rPr>
      </w:pPr>
    </w:p>
    <w:p>
      <w:pPr>
        <w:ind w:left="4860"/>
        <w:jc w:val="both"/>
        <w:rPr>
          <w:rFonts w:asciiTheme="minorHAnsi" w:hAnsiTheme="minorHAnsi" w:cstheme="minorHAnsi"/>
          <w:sz w:val="22"/>
        </w:rPr>
      </w:pPr>
    </w:p>
    <w:p>
      <w:pPr>
        <w:ind w:left="4860"/>
        <w:jc w:val="both"/>
        <w:rPr>
          <w:rFonts w:asciiTheme="minorHAnsi" w:hAnsiTheme="minorHAnsi" w:cstheme="minorHAnsi"/>
          <w:sz w:val="22"/>
        </w:rPr>
      </w:pPr>
    </w:p>
    <w:p>
      <w:pPr>
        <w:ind w:left="4860"/>
        <w:jc w:val="both"/>
        <w:rPr>
          <w:rFonts w:asciiTheme="minorHAnsi" w:hAnsiTheme="minorHAnsi" w:cstheme="minorHAnsi"/>
          <w:sz w:val="22"/>
        </w:rPr>
      </w:pPr>
    </w:p>
    <w:p>
      <w:pPr>
        <w:ind w:left="4860"/>
        <w:jc w:val="both"/>
        <w:rPr>
          <w:rFonts w:asciiTheme="minorHAnsi" w:hAnsiTheme="minorHAnsi" w:cstheme="minorHAnsi"/>
          <w:sz w:val="22"/>
        </w:rPr>
      </w:pPr>
      <w:r>
        <w:rPr>
          <w:rFonts w:asciiTheme="minorHAnsi" w:hAnsiTheme="minorHAnsi" w:cstheme="minorHAnsi"/>
          <w:sz w:val="22"/>
        </w:rPr>
        <w:t>Marie-Martine SCHYNS</w:t>
      </w:r>
    </w:p>
    <w:p>
      <w:pPr>
        <w:ind w:left="4860"/>
        <w:jc w:val="both"/>
        <w:rPr>
          <w:rFonts w:asciiTheme="minorHAnsi" w:hAnsiTheme="minorHAnsi" w:cstheme="minorHAnsi"/>
          <w:sz w:val="22"/>
        </w:rPr>
      </w:pPr>
    </w:p>
    <w:p>
      <w:pPr>
        <w:jc w:val="both"/>
        <w:rPr>
          <w:rFonts w:asciiTheme="minorHAnsi" w:hAnsiTheme="minorHAnsi" w:cstheme="minorHAnsi"/>
          <w:sz w:val="22"/>
        </w:rPr>
        <w:sectPr>
          <w:pgSz w:w="11906" w:h="16838"/>
          <w:pgMar w:top="1417" w:right="1417" w:bottom="709" w:left="1417" w:header="708" w:footer="708" w:gutter="0"/>
          <w:cols w:space="708"/>
          <w:docGrid w:linePitch="360"/>
        </w:sectPr>
      </w:pPr>
    </w:p>
    <w:p>
      <w:pPr>
        <w:pStyle w:val="Paragraphedeliste"/>
        <w:numPr>
          <w:ilvl w:val="0"/>
          <w:numId w:val="20"/>
        </w:numPr>
        <w:spacing w:after="240"/>
        <w:ind w:left="425" w:hanging="425"/>
        <w:contextualSpacing w:val="0"/>
        <w:jc w:val="both"/>
        <w:rPr>
          <w:rFonts w:asciiTheme="minorHAnsi" w:hAnsiTheme="minorHAnsi" w:cstheme="minorHAnsi"/>
          <w:b/>
          <w:bCs/>
          <w:sz w:val="28"/>
          <w:szCs w:val="28"/>
          <w:u w:val="single"/>
        </w:rPr>
      </w:pPr>
      <w:r>
        <w:rPr>
          <w:rFonts w:asciiTheme="minorHAnsi" w:hAnsiTheme="minorHAnsi" w:cstheme="minorHAnsi"/>
          <w:b/>
          <w:bCs/>
          <w:sz w:val="28"/>
          <w:szCs w:val="28"/>
          <w:u w:val="single"/>
        </w:rPr>
        <w:t>Classement annuel des implantations</w:t>
      </w:r>
    </w:p>
    <w:p>
      <w:pPr>
        <w:pStyle w:val="Default"/>
        <w:spacing w:after="120"/>
        <w:jc w:val="both"/>
        <w:rPr>
          <w:rFonts w:asciiTheme="minorHAnsi" w:hAnsiTheme="minorHAnsi" w:cstheme="minorHAnsi"/>
          <w:bCs/>
          <w:iCs/>
          <w:sz w:val="22"/>
          <w:szCs w:val="22"/>
        </w:rPr>
      </w:pPr>
      <w:r>
        <w:rPr>
          <w:rFonts w:asciiTheme="minorHAnsi" w:hAnsiTheme="minorHAnsi" w:cstheme="minorHAnsi"/>
          <w:bCs/>
          <w:iCs/>
          <w:sz w:val="22"/>
        </w:rPr>
        <w:t xml:space="preserve">L’indice socioéconomique (ISE) de chaque implantation est déterminé </w:t>
      </w:r>
      <w:r>
        <w:rPr>
          <w:rFonts w:asciiTheme="minorHAnsi" w:hAnsiTheme="minorHAnsi" w:cstheme="minorHAnsi"/>
          <w:b/>
          <w:bCs/>
          <w:iCs/>
          <w:sz w:val="22"/>
        </w:rPr>
        <w:t>annuellement</w:t>
      </w:r>
      <w:r>
        <w:rPr>
          <w:rFonts w:asciiTheme="minorHAnsi" w:hAnsiTheme="minorHAnsi" w:cstheme="minorHAnsi"/>
          <w:bCs/>
          <w:iCs/>
          <w:sz w:val="22"/>
        </w:rPr>
        <w:t xml:space="preserve"> sur la base de sa </w:t>
      </w:r>
      <w:r>
        <w:rPr>
          <w:rFonts w:asciiTheme="minorHAnsi" w:hAnsiTheme="minorHAnsi" w:cstheme="minorHAnsi"/>
          <w:bCs/>
          <w:iCs/>
          <w:sz w:val="22"/>
          <w:szCs w:val="22"/>
        </w:rPr>
        <w:t>population scolaire du 15 janvier de l’année civile précédant l’année scolaire pour laquelle les moyens complémentaires sont octroyés</w:t>
      </w:r>
      <w:r>
        <w:rPr>
          <w:rStyle w:val="Appelnotedebasdep"/>
          <w:rFonts w:asciiTheme="minorHAnsi" w:hAnsiTheme="minorHAnsi" w:cstheme="minorHAnsi"/>
          <w:bCs/>
          <w:iCs/>
          <w:sz w:val="22"/>
          <w:szCs w:val="22"/>
        </w:rPr>
        <w:footnoteReference w:id="2"/>
      </w:r>
      <w:r>
        <w:rPr>
          <w:rFonts w:asciiTheme="minorHAnsi" w:hAnsiTheme="minorHAnsi" w:cstheme="minorHAnsi"/>
          <w:bCs/>
          <w:iCs/>
          <w:sz w:val="22"/>
          <w:szCs w:val="22"/>
        </w:rPr>
        <w:t>.</w:t>
      </w:r>
    </w:p>
    <w:p>
      <w:pPr>
        <w:pStyle w:val="Default"/>
        <w:spacing w:after="120"/>
        <w:rPr>
          <w:rFonts w:asciiTheme="minorHAnsi" w:hAnsiTheme="minorHAnsi" w:cstheme="minorHAnsi"/>
          <w:bCs/>
          <w:iCs/>
          <w:sz w:val="22"/>
          <w:szCs w:val="22"/>
        </w:rPr>
      </w:pPr>
      <w:r>
        <w:rPr>
          <w:rFonts w:asciiTheme="minorHAnsi" w:hAnsiTheme="minorHAnsi" w:cstheme="minorHAnsi"/>
          <w:bCs/>
          <w:iCs/>
          <w:sz w:val="22"/>
          <w:szCs w:val="22"/>
          <w:u w:val="single"/>
        </w:rPr>
        <w:t>Exemple</w:t>
      </w:r>
      <w:r>
        <w:rPr>
          <w:rFonts w:asciiTheme="minorHAnsi" w:hAnsiTheme="minorHAnsi" w:cstheme="minorHAnsi"/>
          <w:bCs/>
          <w:iCs/>
          <w:sz w:val="22"/>
          <w:szCs w:val="22"/>
        </w:rPr>
        <w:t> : Pour le calcul de l’ISE et donc pour le classement des implantations et l’octroi des moyens pour l’année scolaire 2018-2019, ce sont les populations scolaires au 15 janvier 2017 qui seront prises en compte.</w:t>
      </w:r>
    </w:p>
    <w:p>
      <w:pPr>
        <w:pStyle w:val="Default"/>
        <w:spacing w:after="120"/>
        <w:jc w:val="both"/>
        <w:rPr>
          <w:rFonts w:asciiTheme="minorHAnsi" w:hAnsiTheme="minorHAnsi" w:cstheme="minorHAnsi"/>
          <w:bCs/>
          <w:iCs/>
          <w:sz w:val="22"/>
          <w:szCs w:val="22"/>
        </w:rPr>
      </w:pPr>
      <w:r>
        <w:rPr>
          <w:rFonts w:asciiTheme="minorHAnsi" w:hAnsiTheme="minorHAnsi" w:cstheme="minorHAnsi"/>
          <w:bCs/>
          <w:iCs/>
          <w:sz w:val="22"/>
          <w:szCs w:val="22"/>
        </w:rPr>
        <w:t xml:space="preserve">Le mode de calcul de l’indice socioéconomique est désormais basé sur les </w:t>
      </w:r>
      <w:r>
        <w:rPr>
          <w:rFonts w:asciiTheme="minorHAnsi" w:hAnsiTheme="minorHAnsi" w:cstheme="minorHAnsi"/>
          <w:b/>
          <w:bCs/>
          <w:iCs/>
          <w:sz w:val="22"/>
          <w:szCs w:val="22"/>
        </w:rPr>
        <w:t>caractéristiques individuelles</w:t>
      </w:r>
      <w:r>
        <w:rPr>
          <w:rFonts w:asciiTheme="minorHAnsi" w:hAnsiTheme="minorHAnsi" w:cstheme="minorHAnsi"/>
          <w:bCs/>
          <w:iCs/>
          <w:sz w:val="22"/>
          <w:szCs w:val="22"/>
        </w:rPr>
        <w:t xml:space="preserve"> des élèves, comme notamment le revenu du ménage, le niveau de diplomation et le taux de chômage des membres du ménage.</w:t>
      </w:r>
    </w:p>
    <w:p>
      <w:pPr>
        <w:pStyle w:val="Default"/>
        <w:spacing w:after="120"/>
        <w:jc w:val="both"/>
        <w:rPr>
          <w:rFonts w:asciiTheme="minorHAnsi" w:hAnsiTheme="minorHAnsi" w:cstheme="minorHAnsi"/>
          <w:bCs/>
          <w:iCs/>
          <w:sz w:val="22"/>
          <w:szCs w:val="22"/>
        </w:rPr>
      </w:pPr>
      <w:r>
        <w:rPr>
          <w:rFonts w:asciiTheme="minorHAnsi" w:hAnsiTheme="minorHAnsi" w:cstheme="minorHAnsi"/>
          <w:bCs/>
          <w:iCs/>
          <w:sz w:val="22"/>
          <w:szCs w:val="22"/>
        </w:rPr>
        <w:t>Pour les élèves primo-arrivants, il est attribué pour chaque variable intervenant dans la construction de l’indice socioéconomique la moyenne arithmétique des 2000 valeurs les plus faibles durant 6 ans.</w:t>
      </w:r>
    </w:p>
    <w:p>
      <w:pPr>
        <w:pStyle w:val="Default"/>
        <w:spacing w:after="120"/>
        <w:jc w:val="both"/>
        <w:rPr>
          <w:rFonts w:asciiTheme="minorHAnsi" w:hAnsiTheme="minorHAnsi" w:cstheme="minorHAnsi"/>
          <w:bCs/>
          <w:iCs/>
          <w:sz w:val="22"/>
          <w:szCs w:val="22"/>
        </w:rPr>
      </w:pPr>
      <w:r>
        <w:rPr>
          <w:rFonts w:asciiTheme="minorHAnsi" w:hAnsiTheme="minorHAnsi" w:cstheme="minorHAnsi"/>
          <w:bCs/>
          <w:iCs/>
          <w:sz w:val="22"/>
          <w:szCs w:val="22"/>
        </w:rPr>
        <w:t xml:space="preserve">Le </w:t>
      </w:r>
      <w:r>
        <w:rPr>
          <w:rFonts w:asciiTheme="minorHAnsi" w:hAnsiTheme="minorHAnsi" w:cstheme="minorHAnsi"/>
          <w:b/>
          <w:bCs/>
          <w:iCs/>
          <w:sz w:val="22"/>
          <w:szCs w:val="22"/>
        </w:rPr>
        <w:t>classement</w:t>
      </w:r>
      <w:r>
        <w:rPr>
          <w:rFonts w:asciiTheme="minorHAnsi" w:hAnsiTheme="minorHAnsi" w:cstheme="minorHAnsi"/>
          <w:bCs/>
          <w:iCs/>
          <w:sz w:val="22"/>
          <w:szCs w:val="22"/>
        </w:rPr>
        <w:t xml:space="preserve"> des implantations est établi </w:t>
      </w:r>
      <w:r>
        <w:rPr>
          <w:rFonts w:asciiTheme="minorHAnsi" w:hAnsiTheme="minorHAnsi" w:cstheme="minorHAnsi"/>
          <w:b/>
          <w:bCs/>
          <w:iCs/>
          <w:sz w:val="22"/>
          <w:szCs w:val="22"/>
        </w:rPr>
        <w:t>chaque année</w:t>
      </w:r>
      <w:r>
        <w:rPr>
          <w:rFonts w:asciiTheme="minorHAnsi" w:hAnsiTheme="minorHAnsi" w:cstheme="minorHAnsi"/>
          <w:bCs/>
          <w:iCs/>
          <w:sz w:val="22"/>
          <w:szCs w:val="22"/>
        </w:rPr>
        <w:t>. Les implantations sont classées de manière croissante, en débutant par l’implantation avec l’ISE le plus faible et en terminant par celle qui présente l’ISE le plus élevé. Elles sont ensuite réparties, en fonction de leur population scolaire cumulée, en 20 classes comportant chacune 5 % de la population totale de l’enseignement secondaire ordinaire.</w:t>
      </w:r>
    </w:p>
    <w:p>
      <w:pPr>
        <w:pStyle w:val="Default"/>
        <w:spacing w:after="120"/>
        <w:jc w:val="both"/>
        <w:rPr>
          <w:rFonts w:asciiTheme="minorHAnsi" w:hAnsiTheme="minorHAnsi" w:cstheme="minorHAnsi"/>
          <w:bCs/>
          <w:iCs/>
          <w:sz w:val="22"/>
          <w:szCs w:val="22"/>
        </w:rPr>
      </w:pPr>
      <w:r>
        <w:rPr>
          <w:rFonts w:asciiTheme="minorHAnsi" w:hAnsiTheme="minorHAnsi" w:cstheme="minorHAnsi"/>
          <w:bCs/>
          <w:iCs/>
          <w:sz w:val="22"/>
          <w:szCs w:val="22"/>
        </w:rPr>
        <w:t>Chaque année, avant le 28 février, le classement des implantations est approuvé par le Gouvernement de la Communauté française par arrêté.</w:t>
      </w:r>
    </w:p>
    <w:p>
      <w:pPr>
        <w:pStyle w:val="Paragraphedeliste"/>
        <w:numPr>
          <w:ilvl w:val="0"/>
          <w:numId w:val="20"/>
        </w:numPr>
        <w:spacing w:before="360" w:after="240"/>
        <w:ind w:left="425" w:hanging="425"/>
        <w:contextualSpacing w:val="0"/>
        <w:jc w:val="both"/>
        <w:rPr>
          <w:rFonts w:asciiTheme="minorHAnsi" w:hAnsiTheme="minorHAnsi" w:cstheme="minorHAnsi"/>
          <w:b/>
          <w:bCs/>
          <w:sz w:val="28"/>
          <w:szCs w:val="28"/>
          <w:u w:val="single"/>
        </w:rPr>
      </w:pPr>
      <w:r>
        <w:rPr>
          <w:rFonts w:asciiTheme="minorHAnsi" w:hAnsiTheme="minorHAnsi" w:cstheme="minorHAnsi"/>
          <w:b/>
          <w:bCs/>
          <w:sz w:val="28"/>
          <w:szCs w:val="28"/>
          <w:u w:val="single"/>
        </w:rPr>
        <w:t>Quelles sont les implantations bénéficiaires ?</w:t>
      </w:r>
    </w:p>
    <w:p>
      <w:pPr>
        <w:pStyle w:val="Default"/>
        <w:spacing w:after="120"/>
        <w:jc w:val="both"/>
        <w:rPr>
          <w:rFonts w:asciiTheme="minorHAnsi" w:hAnsiTheme="minorHAnsi" w:cstheme="minorHAnsi"/>
          <w:bCs/>
          <w:iCs/>
          <w:sz w:val="22"/>
        </w:rPr>
      </w:pPr>
      <w:r>
        <w:rPr>
          <w:rFonts w:asciiTheme="minorHAnsi" w:hAnsiTheme="minorHAnsi" w:cstheme="minorHAnsi"/>
          <w:bCs/>
          <w:iCs/>
          <w:sz w:val="22"/>
        </w:rPr>
        <w:t xml:space="preserve">Pour être bénéficiaire de l’encadrement différencié, l’implantation doit répondre à </w:t>
      </w:r>
      <w:r>
        <w:rPr>
          <w:rFonts w:asciiTheme="minorHAnsi" w:hAnsiTheme="minorHAnsi" w:cstheme="minorHAnsi"/>
          <w:b/>
          <w:bCs/>
          <w:iCs/>
          <w:sz w:val="22"/>
          <w:u w:val="single"/>
        </w:rPr>
        <w:t>une</w:t>
      </w:r>
      <w:r>
        <w:rPr>
          <w:rFonts w:asciiTheme="minorHAnsi" w:hAnsiTheme="minorHAnsi" w:cstheme="minorHAnsi"/>
          <w:bCs/>
          <w:iCs/>
          <w:sz w:val="22"/>
        </w:rPr>
        <w:t xml:space="preserve"> des deux conditions suivantes :</w:t>
      </w:r>
    </w:p>
    <w:p>
      <w:pPr>
        <w:pStyle w:val="Default"/>
        <w:spacing w:after="120"/>
        <w:ind w:left="1418" w:hanging="1418"/>
        <w:jc w:val="both"/>
        <w:rPr>
          <w:rFonts w:asciiTheme="minorHAnsi" w:hAnsiTheme="minorHAnsi" w:cstheme="minorHAnsi"/>
          <w:bCs/>
          <w:iCs/>
          <w:sz w:val="22"/>
        </w:rPr>
      </w:pPr>
      <w:r>
        <w:rPr>
          <w:rFonts w:asciiTheme="minorHAnsi" w:hAnsiTheme="minorHAnsi" w:cstheme="minorHAnsi"/>
          <w:b/>
          <w:bCs/>
          <w:iCs/>
          <w:u w:val="single"/>
        </w:rPr>
        <w:t>Condition 1 </w:t>
      </w:r>
      <w:r>
        <w:rPr>
          <w:rFonts w:asciiTheme="minorHAnsi" w:hAnsiTheme="minorHAnsi" w:cstheme="minorHAnsi"/>
          <w:bCs/>
          <w:iCs/>
        </w:rPr>
        <w:t xml:space="preserve">: </w:t>
      </w:r>
      <w:r>
        <w:rPr>
          <w:rFonts w:asciiTheme="minorHAnsi" w:hAnsiTheme="minorHAnsi" w:cstheme="minorHAnsi"/>
          <w:bCs/>
          <w:iCs/>
          <w:sz w:val="22"/>
        </w:rPr>
        <w:tab/>
        <w:t xml:space="preserve">Avoir relevé totalement ou partiellement des </w:t>
      </w:r>
      <w:r>
        <w:rPr>
          <w:rFonts w:asciiTheme="minorHAnsi" w:hAnsiTheme="minorHAnsi" w:cstheme="minorHAnsi"/>
          <w:b/>
          <w:bCs/>
          <w:iCs/>
          <w:sz w:val="22"/>
        </w:rPr>
        <w:t>classes numérotées de 1 à 5 à</w:t>
      </w:r>
      <w:r>
        <w:rPr>
          <w:rFonts w:asciiTheme="minorHAnsi" w:hAnsiTheme="minorHAnsi" w:cstheme="minorHAnsi"/>
          <w:bCs/>
          <w:iCs/>
          <w:sz w:val="22"/>
        </w:rPr>
        <w:t xml:space="preserve"> </w:t>
      </w:r>
      <w:r>
        <w:rPr>
          <w:rFonts w:asciiTheme="minorHAnsi" w:hAnsiTheme="minorHAnsi" w:cstheme="minorHAnsi"/>
          <w:b/>
          <w:bCs/>
          <w:iCs/>
          <w:sz w:val="22"/>
        </w:rPr>
        <w:t>trois reprises au moins lors des six derniers classements</w:t>
      </w:r>
      <w:r>
        <w:rPr>
          <w:rFonts w:asciiTheme="minorHAnsi" w:hAnsiTheme="minorHAnsi" w:cstheme="minorHAnsi"/>
          <w:bCs/>
          <w:iCs/>
          <w:sz w:val="22"/>
        </w:rPr>
        <w:t>, en ce compris le classement de l’année scolaire concernée.</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trPr>
          <w:trHeight w:val="4543"/>
        </w:trPr>
        <w:tc>
          <w:tcPr>
            <w:tcW w:w="9072" w:type="dxa"/>
            <w:vAlign w:val="center"/>
          </w:tcPr>
          <w:p>
            <w:pPr>
              <w:pStyle w:val="Default"/>
              <w:spacing w:before="120" w:after="120"/>
              <w:ind w:left="214"/>
              <w:rPr>
                <w:rFonts w:asciiTheme="minorHAnsi" w:hAnsiTheme="minorHAnsi" w:cstheme="minorHAnsi"/>
                <w:bCs/>
                <w:iCs/>
                <w:sz w:val="22"/>
              </w:rPr>
            </w:pPr>
            <w:r>
              <w:rPr>
                <w:rFonts w:asciiTheme="minorHAnsi" w:hAnsiTheme="minorHAnsi" w:cstheme="minorHAnsi"/>
                <w:bCs/>
                <w:iCs/>
                <w:sz w:val="22"/>
                <w:u w:val="single"/>
              </w:rPr>
              <w:t>Exemple</w:t>
            </w:r>
            <w:r>
              <w:rPr>
                <w:rFonts w:asciiTheme="minorHAnsi" w:hAnsiTheme="minorHAnsi" w:cstheme="minorHAnsi"/>
                <w:bCs/>
                <w:iCs/>
                <w:sz w:val="22"/>
              </w:rPr>
              <w:t> :</w:t>
            </w:r>
          </w:p>
          <w:p>
            <w:pPr>
              <w:pStyle w:val="Default"/>
              <w:spacing w:after="120"/>
              <w:ind w:left="214" w:right="213"/>
              <w:jc w:val="both"/>
              <w:rPr>
                <w:rFonts w:asciiTheme="minorHAnsi" w:hAnsiTheme="minorHAnsi" w:cstheme="minorHAnsi"/>
                <w:bCs/>
                <w:iCs/>
                <w:sz w:val="22"/>
              </w:rPr>
            </w:pPr>
            <w:r>
              <w:rPr>
                <w:rFonts w:asciiTheme="minorHAnsi" w:hAnsiTheme="minorHAnsi" w:cstheme="minorHAnsi"/>
                <w:bCs/>
                <w:iCs/>
                <w:sz w:val="22"/>
              </w:rPr>
              <w:t xml:space="preserve">L’implantation </w:t>
            </w:r>
            <w:r>
              <w:rPr>
                <w:rFonts w:asciiTheme="minorHAnsi" w:hAnsiTheme="minorHAnsi" w:cstheme="minorHAnsi"/>
                <w:bCs/>
                <w:i/>
                <w:iCs/>
                <w:sz w:val="22"/>
              </w:rPr>
              <w:t>A</w:t>
            </w:r>
            <w:r>
              <w:rPr>
                <w:rFonts w:asciiTheme="minorHAnsi" w:hAnsiTheme="minorHAnsi" w:cstheme="minorHAnsi"/>
                <w:bCs/>
                <w:iCs/>
                <w:sz w:val="22"/>
              </w:rPr>
              <w:t xml:space="preserve"> est classée en classe 6 avant 2014-2015 et obtient les classements suivants au cours des années scolaires 2014-2015 à 2021-2022. En fonction de ces classements, elle est bénéficiaire ou non de l’encadrement différencié l’année scolaire concernée :</w:t>
            </w:r>
          </w:p>
          <w:tbl>
            <w:tblPr>
              <w:tblStyle w:val="Tableausimple51"/>
              <w:tblW w:w="0" w:type="auto"/>
              <w:jc w:val="center"/>
              <w:tblLook w:val="04A0" w:firstRow="1" w:lastRow="0" w:firstColumn="1" w:lastColumn="0" w:noHBand="0" w:noVBand="1"/>
            </w:tblPr>
            <w:tblGrid>
              <w:gridCol w:w="1560"/>
              <w:gridCol w:w="892"/>
              <w:gridCol w:w="892"/>
              <w:gridCol w:w="893"/>
              <w:gridCol w:w="945"/>
              <w:gridCol w:w="945"/>
              <w:gridCol w:w="945"/>
              <w:gridCol w:w="945"/>
              <w:gridCol w:w="915"/>
            </w:tblGrid>
            <w:tr>
              <w:trPr>
                <w:cnfStyle w:val="100000000000" w:firstRow="1" w:lastRow="0" w:firstColumn="0" w:lastColumn="0" w:oddVBand="0" w:evenVBand="0" w:oddHBand="0" w:evenHBand="0" w:firstRowFirstColumn="0" w:firstRowLastColumn="0" w:lastRowFirstColumn="0" w:lastRowLastColumn="0"/>
                <w:trHeight w:val="281"/>
                <w:jc w:val="center"/>
              </w:trPr>
              <w:tc>
                <w:tcPr>
                  <w:cnfStyle w:val="001000000100" w:firstRow="0" w:lastRow="0" w:firstColumn="1" w:lastColumn="0" w:oddVBand="0" w:evenVBand="0" w:oddHBand="0" w:evenHBand="0" w:firstRowFirstColumn="1" w:firstRowLastColumn="0" w:lastRowFirstColumn="0" w:lastRowLastColumn="0"/>
                  <w:tcW w:w="1588" w:type="dxa"/>
                  <w:tcBorders>
                    <w:right w:val="single" w:sz="4" w:space="0" w:color="auto"/>
                  </w:tcBorders>
                  <w:vAlign w:val="center"/>
                </w:tcPr>
                <w:p>
                  <w:pPr>
                    <w:pStyle w:val="Default"/>
                    <w:keepNext/>
                    <w:jc w:val="left"/>
                    <w:rPr>
                      <w:rFonts w:asciiTheme="minorHAnsi" w:hAnsiTheme="minorHAnsi" w:cstheme="minorHAnsi"/>
                      <w:bCs/>
                      <w:iCs w:val="0"/>
                      <w:color w:val="auto"/>
                      <w:sz w:val="22"/>
                    </w:rPr>
                  </w:pPr>
                  <w:r>
                    <w:rPr>
                      <w:rFonts w:asciiTheme="minorHAnsi" w:hAnsiTheme="minorHAnsi" w:cstheme="minorHAnsi"/>
                      <w:bCs/>
                      <w:iCs w:val="0"/>
                      <w:color w:val="auto"/>
                      <w:sz w:val="22"/>
                    </w:rPr>
                    <w:t>Année scolaire</w:t>
                  </w:r>
                </w:p>
              </w:tc>
              <w:tc>
                <w:tcPr>
                  <w:tcW w:w="962" w:type="dxa"/>
                  <w:tcBorders>
                    <w:left w:val="single" w:sz="4" w:space="0" w:color="auto"/>
                  </w:tcBorders>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color w:val="auto"/>
                      <w:sz w:val="22"/>
                    </w:rPr>
                  </w:pPr>
                  <w:r>
                    <w:rPr>
                      <w:rFonts w:asciiTheme="minorHAnsi" w:hAnsiTheme="minorHAnsi" w:cstheme="minorHAnsi"/>
                      <w:bCs/>
                      <w:iCs w:val="0"/>
                      <w:color w:val="auto"/>
                      <w:sz w:val="22"/>
                    </w:rPr>
                    <w:t>14-15</w:t>
                  </w:r>
                </w:p>
              </w:tc>
              <w:tc>
                <w:tcPr>
                  <w:tcW w:w="962"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color w:val="auto"/>
                      <w:sz w:val="22"/>
                    </w:rPr>
                  </w:pPr>
                  <w:r>
                    <w:rPr>
                      <w:rFonts w:asciiTheme="minorHAnsi" w:hAnsiTheme="minorHAnsi" w:cstheme="minorHAnsi"/>
                      <w:bCs/>
                      <w:iCs w:val="0"/>
                      <w:color w:val="auto"/>
                      <w:sz w:val="22"/>
                    </w:rPr>
                    <w:t>15-16</w:t>
                  </w:r>
                </w:p>
              </w:tc>
              <w:tc>
                <w:tcPr>
                  <w:tcW w:w="962"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color w:val="auto"/>
                      <w:sz w:val="22"/>
                    </w:rPr>
                  </w:pPr>
                  <w:r>
                    <w:rPr>
                      <w:rFonts w:asciiTheme="minorHAnsi" w:hAnsiTheme="minorHAnsi" w:cstheme="minorHAnsi"/>
                      <w:bCs/>
                      <w:iCs w:val="0"/>
                      <w:color w:val="auto"/>
                      <w:sz w:val="22"/>
                    </w:rPr>
                    <w:t>16-17</w:t>
                  </w:r>
                </w:p>
              </w:tc>
              <w:tc>
                <w:tcPr>
                  <w:tcW w:w="963"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color w:val="auto"/>
                      <w:sz w:val="22"/>
                    </w:rPr>
                  </w:pPr>
                  <w:r>
                    <w:rPr>
                      <w:rFonts w:asciiTheme="minorHAnsi" w:hAnsiTheme="minorHAnsi" w:cstheme="minorHAnsi"/>
                      <w:bCs/>
                      <w:iCs w:val="0"/>
                      <w:color w:val="auto"/>
                      <w:sz w:val="22"/>
                    </w:rPr>
                    <w:t>17-18</w:t>
                  </w:r>
                </w:p>
              </w:tc>
              <w:tc>
                <w:tcPr>
                  <w:tcW w:w="962"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color w:val="auto"/>
                      <w:sz w:val="22"/>
                    </w:rPr>
                  </w:pPr>
                  <w:r>
                    <w:rPr>
                      <w:rFonts w:asciiTheme="minorHAnsi" w:hAnsiTheme="minorHAnsi" w:cstheme="minorHAnsi"/>
                      <w:bCs/>
                      <w:iCs w:val="0"/>
                      <w:color w:val="auto"/>
                      <w:sz w:val="22"/>
                    </w:rPr>
                    <w:t>18-19</w:t>
                  </w:r>
                </w:p>
              </w:tc>
              <w:tc>
                <w:tcPr>
                  <w:tcW w:w="962"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color w:val="auto"/>
                      <w:sz w:val="22"/>
                    </w:rPr>
                  </w:pPr>
                  <w:r>
                    <w:rPr>
                      <w:rFonts w:asciiTheme="minorHAnsi" w:hAnsiTheme="minorHAnsi" w:cstheme="minorHAnsi"/>
                      <w:bCs/>
                      <w:iCs w:val="0"/>
                      <w:color w:val="auto"/>
                      <w:sz w:val="22"/>
                    </w:rPr>
                    <w:t>19-20</w:t>
                  </w:r>
                </w:p>
              </w:tc>
              <w:tc>
                <w:tcPr>
                  <w:tcW w:w="962"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color w:val="auto"/>
                      <w:sz w:val="22"/>
                    </w:rPr>
                  </w:pPr>
                  <w:r>
                    <w:rPr>
                      <w:rFonts w:asciiTheme="minorHAnsi" w:hAnsiTheme="minorHAnsi" w:cstheme="minorHAnsi"/>
                      <w:bCs/>
                      <w:iCs w:val="0"/>
                      <w:color w:val="auto"/>
                      <w:sz w:val="22"/>
                    </w:rPr>
                    <w:t>20-21</w:t>
                  </w:r>
                </w:p>
              </w:tc>
              <w:tc>
                <w:tcPr>
                  <w:tcW w:w="963"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color w:val="auto"/>
                      <w:sz w:val="22"/>
                    </w:rPr>
                  </w:pPr>
                  <w:r>
                    <w:rPr>
                      <w:rFonts w:asciiTheme="minorHAnsi" w:hAnsiTheme="minorHAnsi" w:cstheme="minorHAnsi"/>
                      <w:bCs/>
                      <w:iCs w:val="0"/>
                      <w:color w:val="auto"/>
                      <w:sz w:val="22"/>
                    </w:rPr>
                    <w:t>21-22</w:t>
                  </w:r>
                </w:p>
              </w:tc>
            </w:tr>
            <w:tr>
              <w:trPr>
                <w:cnfStyle w:val="000000100000" w:firstRow="0" w:lastRow="0" w:firstColumn="0" w:lastColumn="0" w:oddVBand="0" w:evenVBand="0" w:oddHBand="1" w:evenHBand="0" w:firstRowFirstColumn="0" w:firstRowLastColumn="0" w:lastRowFirstColumn="0" w:lastRowLastColumn="0"/>
                <w:trHeight w:val="417"/>
                <w:jc w:val="center"/>
              </w:trPr>
              <w:tc>
                <w:tcPr>
                  <w:cnfStyle w:val="001000000000" w:firstRow="0" w:lastRow="0" w:firstColumn="1" w:lastColumn="0" w:oddVBand="0" w:evenVBand="0" w:oddHBand="0" w:evenHBand="0" w:firstRowFirstColumn="0" w:firstRowLastColumn="0" w:lastRowFirstColumn="0" w:lastRowLastColumn="0"/>
                  <w:tcW w:w="1588" w:type="dxa"/>
                  <w:vAlign w:val="center"/>
                </w:tcPr>
                <w:p>
                  <w:pPr>
                    <w:pStyle w:val="Default"/>
                    <w:keepNext/>
                    <w:jc w:val="left"/>
                    <w:rPr>
                      <w:rFonts w:asciiTheme="minorHAnsi" w:hAnsiTheme="minorHAnsi" w:cstheme="minorHAnsi"/>
                      <w:bCs/>
                      <w:iCs w:val="0"/>
                      <w:color w:val="auto"/>
                      <w:sz w:val="22"/>
                    </w:rPr>
                  </w:pPr>
                  <w:r>
                    <w:rPr>
                      <w:rFonts w:asciiTheme="minorHAnsi" w:hAnsiTheme="minorHAnsi" w:cstheme="minorHAnsi"/>
                      <w:bCs/>
                      <w:iCs w:val="0"/>
                      <w:color w:val="auto"/>
                      <w:sz w:val="22"/>
                    </w:rPr>
                    <w:t>Classe ED</w:t>
                  </w:r>
                </w:p>
              </w:tc>
              <w:tc>
                <w:tcPr>
                  <w:tcW w:w="962" w:type="dxa"/>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4</w:t>
                  </w:r>
                </w:p>
              </w:tc>
              <w:tc>
                <w:tcPr>
                  <w:tcW w:w="962" w:type="dxa"/>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4</w:t>
                  </w:r>
                </w:p>
              </w:tc>
              <w:tc>
                <w:tcPr>
                  <w:tcW w:w="962" w:type="dxa"/>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4</w:t>
                  </w:r>
                </w:p>
              </w:tc>
              <w:tc>
                <w:tcPr>
                  <w:tcW w:w="963" w:type="dxa"/>
                  <w:tcBorders>
                    <w:bottom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6</w:t>
                  </w:r>
                </w:p>
              </w:tc>
              <w:tc>
                <w:tcPr>
                  <w:tcW w:w="962" w:type="dxa"/>
                  <w:tcBorders>
                    <w:bottom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7</w:t>
                  </w:r>
                </w:p>
              </w:tc>
              <w:tc>
                <w:tcPr>
                  <w:tcW w:w="962" w:type="dxa"/>
                  <w:tcBorders>
                    <w:bottom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5</w:t>
                  </w:r>
                </w:p>
              </w:tc>
              <w:tc>
                <w:tcPr>
                  <w:tcW w:w="962" w:type="dxa"/>
                  <w:tcBorders>
                    <w:bottom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6</w:t>
                  </w:r>
                </w:p>
              </w:tc>
              <w:tc>
                <w:tcPr>
                  <w:tcW w:w="963" w:type="dxa"/>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6</w:t>
                  </w:r>
                </w:p>
              </w:tc>
            </w:tr>
            <w:tr>
              <w:trPr>
                <w:trHeight w:val="537"/>
                <w:jc w:val="center"/>
              </w:trPr>
              <w:tc>
                <w:tcPr>
                  <w:cnfStyle w:val="001000000000" w:firstRow="0" w:lastRow="0" w:firstColumn="1" w:lastColumn="0" w:oddVBand="0" w:evenVBand="0" w:oddHBand="0" w:evenHBand="0" w:firstRowFirstColumn="0" w:firstRowLastColumn="0" w:lastRowFirstColumn="0" w:lastRowLastColumn="0"/>
                  <w:tcW w:w="1588" w:type="dxa"/>
                  <w:vAlign w:val="center"/>
                </w:tcPr>
                <w:p>
                  <w:pPr>
                    <w:pStyle w:val="Default"/>
                    <w:keepNext/>
                    <w:jc w:val="left"/>
                    <w:rPr>
                      <w:rFonts w:asciiTheme="minorHAnsi" w:hAnsiTheme="minorHAnsi" w:cstheme="minorHAnsi"/>
                      <w:bCs/>
                      <w:iCs w:val="0"/>
                      <w:color w:val="auto"/>
                      <w:sz w:val="22"/>
                    </w:rPr>
                  </w:pPr>
                  <w:r>
                    <w:rPr>
                      <w:rFonts w:asciiTheme="minorHAnsi" w:hAnsiTheme="minorHAnsi" w:cstheme="minorHAnsi"/>
                      <w:bCs/>
                      <w:iCs w:val="0"/>
                      <w:color w:val="auto"/>
                      <w:sz w:val="22"/>
                    </w:rPr>
                    <w:t>Condition 1 ou 2 satisfaite ?</w:t>
                  </w:r>
                </w:p>
              </w:tc>
              <w:tc>
                <w:tcPr>
                  <w:tcW w:w="962" w:type="dxa"/>
                  <w:tcBorders>
                    <w:tr2bl w:val="single" w:sz="4" w:space="0" w:color="auto"/>
                  </w:tcBorders>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p>
              </w:tc>
              <w:tc>
                <w:tcPr>
                  <w:tcW w:w="962" w:type="dxa"/>
                  <w:tcBorders>
                    <w:tr2bl w:val="single" w:sz="4" w:space="0" w:color="auto"/>
                  </w:tcBorders>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p>
              </w:tc>
              <w:tc>
                <w:tcPr>
                  <w:tcW w:w="962" w:type="dxa"/>
                  <w:tcBorders>
                    <w:right w:val="single" w:sz="4" w:space="0" w:color="auto"/>
                    <w:tr2bl w:val="single" w:sz="4" w:space="0" w:color="auto"/>
                  </w:tcBorders>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p>
              </w:tc>
              <w:tc>
                <w:tcPr>
                  <w:tcW w:w="963" w:type="dxa"/>
                  <w:tcBorders>
                    <w:top w:val="single" w:sz="4" w:space="0" w:color="auto"/>
                    <w:left w:val="single" w:sz="4" w:space="0" w:color="auto"/>
                    <w:bottom w:val="single" w:sz="4" w:space="0" w:color="auto"/>
                    <w:right w:val="single" w:sz="4" w:space="0" w:color="auto"/>
                  </w:tcBorders>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Cond.1</w:t>
                  </w:r>
                </w:p>
              </w:tc>
              <w:tc>
                <w:tcPr>
                  <w:tcW w:w="962" w:type="dxa"/>
                  <w:tcBorders>
                    <w:top w:val="single" w:sz="4" w:space="0" w:color="auto"/>
                    <w:left w:val="single" w:sz="4" w:space="0" w:color="auto"/>
                    <w:bottom w:val="single" w:sz="4" w:space="0" w:color="auto"/>
                    <w:right w:val="single" w:sz="4" w:space="0" w:color="auto"/>
                  </w:tcBorders>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Cond.1</w:t>
                  </w:r>
                </w:p>
              </w:tc>
              <w:tc>
                <w:tcPr>
                  <w:tcW w:w="962" w:type="dxa"/>
                  <w:tcBorders>
                    <w:top w:val="single" w:sz="4" w:space="0" w:color="auto"/>
                    <w:left w:val="single" w:sz="4" w:space="0" w:color="auto"/>
                    <w:bottom w:val="single" w:sz="4" w:space="0" w:color="auto"/>
                    <w:right w:val="single" w:sz="4" w:space="0" w:color="auto"/>
                  </w:tcBorders>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Cond.1</w:t>
                  </w:r>
                </w:p>
              </w:tc>
              <w:tc>
                <w:tcPr>
                  <w:tcW w:w="962" w:type="dxa"/>
                  <w:tcBorders>
                    <w:top w:val="single" w:sz="4" w:space="0" w:color="auto"/>
                    <w:left w:val="single" w:sz="4" w:space="0" w:color="auto"/>
                    <w:bottom w:val="single" w:sz="4" w:space="0" w:color="auto"/>
                    <w:right w:val="single" w:sz="4" w:space="0" w:color="auto"/>
                  </w:tcBorders>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Cond.1</w:t>
                  </w:r>
                </w:p>
              </w:tc>
              <w:tc>
                <w:tcPr>
                  <w:tcW w:w="963" w:type="dxa"/>
                  <w:tcBorders>
                    <w:left w:val="single" w:sz="4" w:space="0" w:color="auto"/>
                  </w:tcBorders>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NON</w:t>
                  </w:r>
                </w:p>
              </w:tc>
            </w:tr>
            <w:tr>
              <w:trPr>
                <w:cnfStyle w:val="000000100000" w:firstRow="0" w:lastRow="0" w:firstColumn="0" w:lastColumn="0" w:oddVBand="0" w:evenVBand="0" w:oddHBand="1" w:evenHBand="0" w:firstRowFirstColumn="0" w:firstRowLastColumn="0" w:lastRowFirstColumn="0" w:lastRowLastColumn="0"/>
                <w:trHeight w:val="537"/>
                <w:jc w:val="center"/>
              </w:trPr>
              <w:tc>
                <w:tcPr>
                  <w:cnfStyle w:val="001000000000" w:firstRow="0" w:lastRow="0" w:firstColumn="1" w:lastColumn="0" w:oddVBand="0" w:evenVBand="0" w:oddHBand="0" w:evenHBand="0" w:firstRowFirstColumn="0" w:firstRowLastColumn="0" w:lastRowFirstColumn="0" w:lastRowLastColumn="0"/>
                  <w:tcW w:w="1588" w:type="dxa"/>
                  <w:vAlign w:val="center"/>
                </w:tcPr>
                <w:p>
                  <w:pPr>
                    <w:pStyle w:val="Default"/>
                    <w:keepNext/>
                    <w:jc w:val="left"/>
                    <w:rPr>
                      <w:rFonts w:asciiTheme="minorHAnsi" w:hAnsiTheme="minorHAnsi" w:cstheme="minorHAnsi"/>
                      <w:bCs/>
                      <w:iCs w:val="0"/>
                      <w:color w:val="auto"/>
                      <w:sz w:val="22"/>
                    </w:rPr>
                  </w:pPr>
                  <w:r>
                    <w:rPr>
                      <w:rFonts w:asciiTheme="minorHAnsi" w:hAnsiTheme="minorHAnsi" w:cstheme="minorHAnsi"/>
                      <w:bCs/>
                      <w:iCs w:val="0"/>
                      <w:color w:val="auto"/>
                      <w:sz w:val="22"/>
                    </w:rPr>
                    <w:t>Bénéficiaire ?</w:t>
                  </w:r>
                </w:p>
              </w:tc>
              <w:tc>
                <w:tcPr>
                  <w:tcW w:w="962" w:type="dxa"/>
                  <w:tcBorders>
                    <w:tr2bl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p>
              </w:tc>
              <w:tc>
                <w:tcPr>
                  <w:tcW w:w="962" w:type="dxa"/>
                  <w:tcBorders>
                    <w:tr2bl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p>
              </w:tc>
              <w:tc>
                <w:tcPr>
                  <w:tcW w:w="962" w:type="dxa"/>
                  <w:tcBorders>
                    <w:tr2bl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p>
              </w:tc>
              <w:tc>
                <w:tcPr>
                  <w:tcW w:w="963" w:type="dxa"/>
                  <w:tcBorders>
                    <w:top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OUI</w:t>
                  </w:r>
                </w:p>
              </w:tc>
              <w:tc>
                <w:tcPr>
                  <w:tcW w:w="962" w:type="dxa"/>
                  <w:tcBorders>
                    <w:top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OUI</w:t>
                  </w:r>
                </w:p>
              </w:tc>
              <w:tc>
                <w:tcPr>
                  <w:tcW w:w="962" w:type="dxa"/>
                  <w:tcBorders>
                    <w:top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OUI</w:t>
                  </w:r>
                </w:p>
              </w:tc>
              <w:tc>
                <w:tcPr>
                  <w:tcW w:w="962" w:type="dxa"/>
                  <w:tcBorders>
                    <w:top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OUI</w:t>
                  </w:r>
                </w:p>
              </w:tc>
              <w:tc>
                <w:tcPr>
                  <w:tcW w:w="963" w:type="dxa"/>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NON</w:t>
                  </w:r>
                </w:p>
              </w:tc>
            </w:tr>
          </w:tbl>
          <w:p>
            <w:pPr>
              <w:pStyle w:val="Default"/>
              <w:spacing w:before="120"/>
              <w:ind w:left="214" w:right="213"/>
              <w:jc w:val="both"/>
              <w:rPr>
                <w:rFonts w:asciiTheme="minorHAnsi" w:hAnsiTheme="minorHAnsi" w:cstheme="minorHAnsi"/>
                <w:bCs/>
                <w:iCs/>
                <w:sz w:val="22"/>
              </w:rPr>
            </w:pPr>
            <w:r>
              <w:rPr>
                <w:rFonts w:asciiTheme="minorHAnsi" w:hAnsiTheme="minorHAnsi" w:cstheme="minorHAnsi"/>
                <w:bCs/>
                <w:iCs/>
                <w:sz w:val="22"/>
              </w:rPr>
              <w:t xml:space="preserve">En 2020-2021, l’implantation </w:t>
            </w:r>
            <w:r>
              <w:rPr>
                <w:rFonts w:asciiTheme="minorHAnsi" w:hAnsiTheme="minorHAnsi" w:cstheme="minorHAnsi"/>
                <w:bCs/>
                <w:i/>
                <w:iCs/>
                <w:sz w:val="22"/>
              </w:rPr>
              <w:t>A</w:t>
            </w:r>
            <w:r>
              <w:rPr>
                <w:rFonts w:asciiTheme="minorHAnsi" w:hAnsiTheme="minorHAnsi" w:cstheme="minorHAnsi"/>
                <w:bCs/>
                <w:iCs/>
                <w:sz w:val="22"/>
              </w:rPr>
              <w:t xml:space="preserve"> est bien classée parmi les classes 1 à 5 à 3 reprises sur les 6 dernières années (en 15-16, en 16-17 et en 19-20).</w:t>
            </w:r>
          </w:p>
          <w:p>
            <w:pPr>
              <w:pStyle w:val="Default"/>
              <w:spacing w:after="120"/>
              <w:ind w:left="214" w:right="213"/>
              <w:jc w:val="both"/>
              <w:rPr>
                <w:rFonts w:asciiTheme="minorHAnsi" w:hAnsiTheme="minorHAnsi" w:cstheme="minorHAnsi"/>
                <w:bCs/>
                <w:iCs/>
                <w:sz w:val="22"/>
                <w:u w:val="single"/>
              </w:rPr>
            </w:pPr>
            <w:r>
              <w:rPr>
                <w:rFonts w:asciiTheme="minorHAnsi" w:hAnsiTheme="minorHAnsi" w:cstheme="minorHAnsi"/>
                <w:bCs/>
                <w:iCs/>
                <w:sz w:val="22"/>
              </w:rPr>
              <w:t xml:space="preserve">En 2021-2022, l’implantation </w:t>
            </w:r>
            <w:r>
              <w:rPr>
                <w:rFonts w:asciiTheme="minorHAnsi" w:hAnsiTheme="minorHAnsi" w:cstheme="minorHAnsi"/>
                <w:bCs/>
                <w:i/>
                <w:iCs/>
                <w:sz w:val="22"/>
              </w:rPr>
              <w:t>A</w:t>
            </w:r>
            <w:r>
              <w:rPr>
                <w:rFonts w:asciiTheme="minorHAnsi" w:hAnsiTheme="minorHAnsi" w:cstheme="minorHAnsi"/>
                <w:bCs/>
                <w:iCs/>
                <w:sz w:val="22"/>
              </w:rPr>
              <w:t xml:space="preserve"> est classée parmi les classes 1 à 5 </w:t>
            </w:r>
            <w:r>
              <w:rPr>
                <w:rFonts w:asciiTheme="minorHAnsi" w:hAnsiTheme="minorHAnsi" w:cstheme="minorHAnsi"/>
                <w:bCs/>
                <w:iCs/>
                <w:sz w:val="22"/>
                <w:u w:val="single"/>
              </w:rPr>
              <w:t>seulement à 2 reprises</w:t>
            </w:r>
            <w:r>
              <w:rPr>
                <w:rFonts w:asciiTheme="minorHAnsi" w:hAnsiTheme="minorHAnsi" w:cstheme="minorHAnsi"/>
                <w:bCs/>
                <w:iCs/>
                <w:sz w:val="22"/>
              </w:rPr>
              <w:t xml:space="preserve"> sur les 6 dernières années (en 16-17 et en 19-20) et n’est donc plus bénéficiaire.</w:t>
            </w:r>
          </w:p>
        </w:tc>
      </w:tr>
    </w:tbl>
    <w:p>
      <w:pPr>
        <w:pStyle w:val="Default"/>
        <w:spacing w:before="360" w:after="120"/>
        <w:ind w:left="1418" w:hanging="1418"/>
        <w:jc w:val="both"/>
        <w:rPr>
          <w:rFonts w:asciiTheme="minorHAnsi" w:hAnsiTheme="minorHAnsi" w:cstheme="minorHAnsi"/>
          <w:bCs/>
          <w:iCs/>
          <w:sz w:val="22"/>
        </w:rPr>
      </w:pPr>
      <w:r>
        <w:rPr>
          <w:rFonts w:asciiTheme="minorHAnsi" w:hAnsiTheme="minorHAnsi" w:cstheme="minorHAnsi"/>
          <w:b/>
          <w:bCs/>
          <w:iCs/>
          <w:u w:val="single"/>
        </w:rPr>
        <w:t>Condition 2 </w:t>
      </w:r>
      <w:r>
        <w:rPr>
          <w:rFonts w:asciiTheme="minorHAnsi" w:hAnsiTheme="minorHAnsi" w:cstheme="minorHAnsi"/>
          <w:bCs/>
          <w:iCs/>
        </w:rPr>
        <w:t xml:space="preserve">: </w:t>
      </w:r>
      <w:r>
        <w:rPr>
          <w:rFonts w:asciiTheme="minorHAnsi" w:hAnsiTheme="minorHAnsi" w:cstheme="minorHAnsi"/>
          <w:bCs/>
          <w:iCs/>
          <w:sz w:val="22"/>
          <w:szCs w:val="22"/>
        </w:rPr>
        <w:tab/>
      </w:r>
      <w:r>
        <w:rPr>
          <w:rFonts w:asciiTheme="minorHAnsi" w:hAnsiTheme="minorHAnsi" w:cstheme="minorHAnsi"/>
          <w:b/>
          <w:bCs/>
          <w:iCs/>
          <w:sz w:val="22"/>
          <w:szCs w:val="22"/>
        </w:rPr>
        <w:t>Avoir</w:t>
      </w:r>
      <w:r>
        <w:rPr>
          <w:rFonts w:asciiTheme="minorHAnsi" w:hAnsiTheme="minorHAnsi" w:cstheme="minorHAnsi"/>
          <w:bCs/>
          <w:iCs/>
          <w:sz w:val="22"/>
          <w:szCs w:val="22"/>
        </w:rPr>
        <w:t xml:space="preserve"> </w:t>
      </w:r>
      <w:r>
        <w:rPr>
          <w:rFonts w:asciiTheme="minorHAnsi" w:hAnsiTheme="minorHAnsi" w:cstheme="minorHAnsi"/>
          <w:b/>
          <w:bCs/>
          <w:iCs/>
          <w:sz w:val="22"/>
          <w:szCs w:val="22"/>
          <w:u w:val="single"/>
        </w:rPr>
        <w:t>toujours</w:t>
      </w:r>
      <w:r>
        <w:rPr>
          <w:rFonts w:asciiTheme="minorHAnsi" w:hAnsiTheme="minorHAnsi" w:cstheme="minorHAnsi"/>
          <w:bCs/>
          <w:iCs/>
          <w:sz w:val="22"/>
          <w:szCs w:val="22"/>
        </w:rPr>
        <w:t xml:space="preserve"> </w:t>
      </w:r>
      <w:r>
        <w:rPr>
          <w:rFonts w:asciiTheme="minorHAnsi" w:hAnsiTheme="minorHAnsi" w:cstheme="minorHAnsi"/>
          <w:b/>
          <w:bCs/>
          <w:iCs/>
          <w:sz w:val="22"/>
          <w:szCs w:val="22"/>
        </w:rPr>
        <w:t xml:space="preserve">relevé </w:t>
      </w:r>
      <w:r>
        <w:rPr>
          <w:rFonts w:asciiTheme="minorHAnsi" w:hAnsiTheme="minorHAnsi" w:cstheme="minorHAnsi"/>
          <w:b/>
          <w:bCs/>
          <w:iCs/>
          <w:sz w:val="22"/>
        </w:rPr>
        <w:t xml:space="preserve">totalement ou partiellement </w:t>
      </w:r>
      <w:r>
        <w:rPr>
          <w:rFonts w:asciiTheme="minorHAnsi" w:hAnsiTheme="minorHAnsi" w:cstheme="minorHAnsi"/>
          <w:b/>
          <w:bCs/>
          <w:iCs/>
          <w:sz w:val="22"/>
          <w:szCs w:val="22"/>
        </w:rPr>
        <w:t xml:space="preserve">des classes </w:t>
      </w:r>
      <w:r>
        <w:rPr>
          <w:rFonts w:asciiTheme="minorHAnsi" w:hAnsiTheme="minorHAnsi" w:cstheme="minorHAnsi"/>
          <w:b/>
          <w:bCs/>
          <w:iCs/>
          <w:sz w:val="22"/>
        </w:rPr>
        <w:t>numérotées de 1 à 5</w:t>
      </w:r>
      <w:r>
        <w:rPr>
          <w:rFonts w:asciiTheme="minorHAnsi" w:hAnsiTheme="minorHAnsi" w:cstheme="minorHAnsi"/>
          <w:bCs/>
          <w:iCs/>
          <w:sz w:val="22"/>
        </w:rPr>
        <w:t xml:space="preserve"> </w:t>
      </w:r>
      <w:r>
        <w:rPr>
          <w:rFonts w:asciiTheme="minorHAnsi" w:hAnsiTheme="minorHAnsi" w:cstheme="minorHAnsi"/>
          <w:b/>
          <w:bCs/>
          <w:iCs/>
          <w:sz w:val="22"/>
        </w:rPr>
        <w:t>lors de chaque classement où l’implantation a été classée à partir de l’année scolaire 2017-2018</w:t>
      </w:r>
      <w:r>
        <w:rPr>
          <w:rFonts w:asciiTheme="minorHAnsi" w:hAnsiTheme="minorHAnsi" w:cstheme="minorHAnsi"/>
          <w:bCs/>
          <w:iCs/>
          <w:sz w:val="22"/>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trPr>
          <w:trHeight w:val="9669"/>
        </w:trPr>
        <w:tc>
          <w:tcPr>
            <w:tcW w:w="9072" w:type="dxa"/>
          </w:tcPr>
          <w:p>
            <w:pPr>
              <w:pStyle w:val="Default"/>
              <w:spacing w:before="120" w:after="120"/>
              <w:ind w:left="214"/>
              <w:jc w:val="both"/>
              <w:rPr>
                <w:rFonts w:asciiTheme="minorHAnsi" w:hAnsiTheme="minorHAnsi" w:cstheme="minorHAnsi"/>
                <w:bCs/>
                <w:iCs/>
                <w:sz w:val="22"/>
              </w:rPr>
            </w:pPr>
            <w:r>
              <w:rPr>
                <w:rFonts w:asciiTheme="minorHAnsi" w:hAnsiTheme="minorHAnsi" w:cstheme="minorHAnsi"/>
                <w:bCs/>
                <w:iCs/>
                <w:sz w:val="22"/>
                <w:u w:val="single"/>
              </w:rPr>
              <w:t>Exemple 1</w:t>
            </w:r>
            <w:r>
              <w:rPr>
                <w:rFonts w:asciiTheme="minorHAnsi" w:hAnsiTheme="minorHAnsi" w:cstheme="minorHAnsi"/>
                <w:bCs/>
                <w:iCs/>
                <w:sz w:val="22"/>
              </w:rPr>
              <w:t xml:space="preserve">: </w:t>
            </w:r>
          </w:p>
          <w:p>
            <w:pPr>
              <w:pStyle w:val="Default"/>
              <w:tabs>
                <w:tab w:val="left" w:pos="8010"/>
              </w:tabs>
              <w:spacing w:after="120"/>
              <w:ind w:left="214" w:right="213"/>
              <w:jc w:val="both"/>
              <w:rPr>
                <w:rFonts w:asciiTheme="minorHAnsi" w:hAnsiTheme="minorHAnsi" w:cstheme="minorHAnsi"/>
                <w:bCs/>
                <w:iCs/>
                <w:sz w:val="22"/>
              </w:rPr>
            </w:pPr>
            <w:r>
              <w:rPr>
                <w:rFonts w:asciiTheme="minorHAnsi" w:hAnsiTheme="minorHAnsi" w:cstheme="minorHAnsi"/>
                <w:bCs/>
                <w:iCs/>
                <w:sz w:val="22"/>
              </w:rPr>
              <w:t xml:space="preserve">L’implantation </w:t>
            </w:r>
            <w:r>
              <w:rPr>
                <w:rFonts w:asciiTheme="minorHAnsi" w:hAnsiTheme="minorHAnsi" w:cstheme="minorHAnsi"/>
                <w:bCs/>
                <w:i/>
                <w:iCs/>
                <w:sz w:val="22"/>
              </w:rPr>
              <w:t>B</w:t>
            </w:r>
            <w:r>
              <w:rPr>
                <w:rFonts w:asciiTheme="minorHAnsi" w:hAnsiTheme="minorHAnsi" w:cstheme="minorHAnsi"/>
                <w:bCs/>
                <w:iCs/>
                <w:sz w:val="22"/>
              </w:rPr>
              <w:t xml:space="preserve"> relevait de la classe 7 avant 2017-2018. A partir de 2017-2018, elle relève de la classe 4 :</w:t>
            </w:r>
          </w:p>
          <w:tbl>
            <w:tblPr>
              <w:tblStyle w:val="Tableausimple51"/>
              <w:tblW w:w="0" w:type="auto"/>
              <w:tblInd w:w="72" w:type="dxa"/>
              <w:tblLook w:val="04A0" w:firstRow="1" w:lastRow="0" w:firstColumn="1" w:lastColumn="0" w:noHBand="0" w:noVBand="1"/>
            </w:tblPr>
            <w:tblGrid>
              <w:gridCol w:w="1533"/>
              <w:gridCol w:w="907"/>
              <w:gridCol w:w="907"/>
              <w:gridCol w:w="907"/>
              <w:gridCol w:w="907"/>
              <w:gridCol w:w="907"/>
              <w:gridCol w:w="907"/>
              <w:gridCol w:w="907"/>
              <w:gridCol w:w="907"/>
            </w:tblGrid>
            <w:tr>
              <w:trPr>
                <w:cnfStyle w:val="100000000000" w:firstRow="1" w:lastRow="0" w:firstColumn="0" w:lastColumn="0" w:oddVBand="0" w:evenVBand="0" w:oddHBand="0" w:evenHBand="0" w:firstRowFirstColumn="0" w:firstRowLastColumn="0" w:lastRowFirstColumn="0" w:lastRowLastColumn="0"/>
                <w:trHeight w:val="281"/>
              </w:trPr>
              <w:tc>
                <w:tcPr>
                  <w:cnfStyle w:val="001000000100" w:firstRow="0" w:lastRow="0" w:firstColumn="1" w:lastColumn="0" w:oddVBand="0" w:evenVBand="0" w:oddHBand="0" w:evenHBand="0" w:firstRowFirstColumn="1" w:firstRowLastColumn="0" w:lastRowFirstColumn="0" w:lastRowLastColumn="0"/>
                  <w:tcW w:w="1533" w:type="dxa"/>
                  <w:tcBorders>
                    <w:right w:val="single" w:sz="4" w:space="0" w:color="auto"/>
                  </w:tcBorders>
                  <w:vAlign w:val="center"/>
                </w:tcPr>
                <w:p>
                  <w:pPr>
                    <w:pStyle w:val="Default"/>
                    <w:keepNext/>
                    <w:jc w:val="left"/>
                    <w:rPr>
                      <w:rFonts w:asciiTheme="minorHAnsi" w:hAnsiTheme="minorHAnsi" w:cstheme="minorHAnsi"/>
                      <w:bCs/>
                      <w:iCs w:val="0"/>
                      <w:color w:val="auto"/>
                      <w:sz w:val="22"/>
                    </w:rPr>
                  </w:pPr>
                  <w:r>
                    <w:rPr>
                      <w:rFonts w:asciiTheme="minorHAnsi" w:hAnsiTheme="minorHAnsi" w:cstheme="minorHAnsi"/>
                      <w:bCs/>
                      <w:iCs w:val="0"/>
                      <w:color w:val="auto"/>
                      <w:sz w:val="22"/>
                    </w:rPr>
                    <w:t xml:space="preserve">Année scolaire </w:t>
                  </w:r>
                </w:p>
              </w:tc>
              <w:tc>
                <w:tcPr>
                  <w:tcW w:w="907" w:type="dxa"/>
                  <w:tcBorders>
                    <w:left w:val="single" w:sz="4" w:space="0" w:color="auto"/>
                  </w:tcBorders>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color w:val="auto"/>
                      <w:sz w:val="22"/>
                    </w:rPr>
                  </w:pPr>
                  <w:r>
                    <w:rPr>
                      <w:rFonts w:asciiTheme="minorHAnsi" w:hAnsiTheme="minorHAnsi" w:cstheme="minorHAnsi"/>
                      <w:bCs/>
                      <w:iCs w:val="0"/>
                      <w:color w:val="auto"/>
                      <w:sz w:val="22"/>
                    </w:rPr>
                    <w:t>14-15</w:t>
                  </w:r>
                </w:p>
              </w:tc>
              <w:tc>
                <w:tcPr>
                  <w:tcW w:w="907"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color w:val="auto"/>
                      <w:sz w:val="22"/>
                    </w:rPr>
                  </w:pPr>
                  <w:r>
                    <w:rPr>
                      <w:rFonts w:asciiTheme="minorHAnsi" w:hAnsiTheme="minorHAnsi" w:cstheme="minorHAnsi"/>
                      <w:bCs/>
                      <w:iCs w:val="0"/>
                      <w:color w:val="auto"/>
                      <w:sz w:val="22"/>
                    </w:rPr>
                    <w:t>15-16</w:t>
                  </w:r>
                </w:p>
              </w:tc>
              <w:tc>
                <w:tcPr>
                  <w:tcW w:w="907"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color w:val="auto"/>
                      <w:sz w:val="22"/>
                    </w:rPr>
                  </w:pPr>
                  <w:r>
                    <w:rPr>
                      <w:rFonts w:asciiTheme="minorHAnsi" w:hAnsiTheme="minorHAnsi" w:cstheme="minorHAnsi"/>
                      <w:bCs/>
                      <w:iCs w:val="0"/>
                      <w:color w:val="auto"/>
                      <w:sz w:val="22"/>
                    </w:rPr>
                    <w:t>16-17</w:t>
                  </w:r>
                </w:p>
              </w:tc>
              <w:tc>
                <w:tcPr>
                  <w:tcW w:w="907"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color w:val="auto"/>
                      <w:sz w:val="22"/>
                    </w:rPr>
                  </w:pPr>
                  <w:r>
                    <w:rPr>
                      <w:rFonts w:asciiTheme="minorHAnsi" w:hAnsiTheme="minorHAnsi" w:cstheme="minorHAnsi"/>
                      <w:bCs/>
                      <w:iCs w:val="0"/>
                      <w:color w:val="auto"/>
                      <w:sz w:val="22"/>
                    </w:rPr>
                    <w:t>17-18</w:t>
                  </w:r>
                </w:p>
              </w:tc>
              <w:tc>
                <w:tcPr>
                  <w:tcW w:w="907"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color w:val="auto"/>
                      <w:sz w:val="22"/>
                    </w:rPr>
                  </w:pPr>
                  <w:r>
                    <w:rPr>
                      <w:rFonts w:asciiTheme="minorHAnsi" w:hAnsiTheme="minorHAnsi" w:cstheme="minorHAnsi"/>
                      <w:bCs/>
                      <w:iCs w:val="0"/>
                      <w:color w:val="auto"/>
                      <w:sz w:val="22"/>
                    </w:rPr>
                    <w:t>18-19</w:t>
                  </w:r>
                </w:p>
              </w:tc>
              <w:tc>
                <w:tcPr>
                  <w:tcW w:w="907"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color w:val="auto"/>
                      <w:sz w:val="22"/>
                    </w:rPr>
                  </w:pPr>
                  <w:r>
                    <w:rPr>
                      <w:rFonts w:asciiTheme="minorHAnsi" w:hAnsiTheme="minorHAnsi" w:cstheme="minorHAnsi"/>
                      <w:bCs/>
                      <w:iCs w:val="0"/>
                      <w:color w:val="auto"/>
                      <w:sz w:val="22"/>
                    </w:rPr>
                    <w:t>19-20</w:t>
                  </w:r>
                </w:p>
              </w:tc>
              <w:tc>
                <w:tcPr>
                  <w:tcW w:w="907"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color w:val="auto"/>
                      <w:sz w:val="22"/>
                    </w:rPr>
                  </w:pPr>
                  <w:r>
                    <w:rPr>
                      <w:rFonts w:asciiTheme="minorHAnsi" w:hAnsiTheme="minorHAnsi" w:cstheme="minorHAnsi"/>
                      <w:bCs/>
                      <w:iCs w:val="0"/>
                      <w:color w:val="auto"/>
                      <w:sz w:val="22"/>
                    </w:rPr>
                    <w:t>20-21</w:t>
                  </w:r>
                </w:p>
              </w:tc>
              <w:tc>
                <w:tcPr>
                  <w:tcW w:w="907"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color w:val="auto"/>
                      <w:sz w:val="22"/>
                    </w:rPr>
                  </w:pPr>
                  <w:r>
                    <w:rPr>
                      <w:rFonts w:asciiTheme="minorHAnsi" w:hAnsiTheme="minorHAnsi" w:cstheme="minorHAnsi"/>
                      <w:bCs/>
                      <w:iCs w:val="0"/>
                      <w:color w:val="auto"/>
                      <w:sz w:val="22"/>
                    </w:rPr>
                    <w:t>21-22</w:t>
                  </w:r>
                </w:p>
              </w:tc>
            </w:tr>
            <w:tr>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1533" w:type="dxa"/>
                  <w:vAlign w:val="center"/>
                </w:tcPr>
                <w:p>
                  <w:pPr>
                    <w:pStyle w:val="Default"/>
                    <w:keepNext/>
                    <w:jc w:val="left"/>
                    <w:rPr>
                      <w:rFonts w:asciiTheme="minorHAnsi" w:hAnsiTheme="minorHAnsi" w:cstheme="minorHAnsi"/>
                      <w:bCs/>
                      <w:iCs w:val="0"/>
                      <w:color w:val="auto"/>
                      <w:sz w:val="22"/>
                    </w:rPr>
                  </w:pPr>
                  <w:r>
                    <w:rPr>
                      <w:rFonts w:asciiTheme="minorHAnsi" w:hAnsiTheme="minorHAnsi" w:cstheme="minorHAnsi"/>
                      <w:bCs/>
                      <w:iCs w:val="0"/>
                      <w:color w:val="auto"/>
                      <w:sz w:val="22"/>
                    </w:rPr>
                    <w:t>Classe ED</w:t>
                  </w:r>
                </w:p>
              </w:tc>
              <w:tc>
                <w:tcPr>
                  <w:tcW w:w="907" w:type="dxa"/>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7</w:t>
                  </w:r>
                </w:p>
              </w:tc>
              <w:tc>
                <w:tcPr>
                  <w:tcW w:w="907" w:type="dxa"/>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7</w:t>
                  </w:r>
                </w:p>
              </w:tc>
              <w:tc>
                <w:tcPr>
                  <w:tcW w:w="907" w:type="dxa"/>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7</w:t>
                  </w:r>
                </w:p>
              </w:tc>
              <w:tc>
                <w:tcPr>
                  <w:tcW w:w="907" w:type="dxa"/>
                  <w:tcBorders>
                    <w:bottom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4</w:t>
                  </w:r>
                </w:p>
              </w:tc>
              <w:tc>
                <w:tcPr>
                  <w:tcW w:w="907" w:type="dxa"/>
                  <w:tcBorders>
                    <w:bottom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4</w:t>
                  </w:r>
                </w:p>
              </w:tc>
              <w:tc>
                <w:tcPr>
                  <w:tcW w:w="907" w:type="dxa"/>
                  <w:tcBorders>
                    <w:bottom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4</w:t>
                  </w:r>
                </w:p>
              </w:tc>
              <w:tc>
                <w:tcPr>
                  <w:tcW w:w="907" w:type="dxa"/>
                  <w:tcBorders>
                    <w:bottom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4</w:t>
                  </w:r>
                </w:p>
              </w:tc>
              <w:tc>
                <w:tcPr>
                  <w:tcW w:w="907" w:type="dxa"/>
                  <w:tcBorders>
                    <w:bottom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4</w:t>
                  </w:r>
                </w:p>
              </w:tc>
            </w:tr>
            <w:tr>
              <w:trPr>
                <w:trHeight w:val="537"/>
              </w:trPr>
              <w:tc>
                <w:tcPr>
                  <w:cnfStyle w:val="001000000000" w:firstRow="0" w:lastRow="0" w:firstColumn="1" w:lastColumn="0" w:oddVBand="0" w:evenVBand="0" w:oddHBand="0" w:evenHBand="0" w:firstRowFirstColumn="0" w:firstRowLastColumn="0" w:lastRowFirstColumn="0" w:lastRowLastColumn="0"/>
                  <w:tcW w:w="1533" w:type="dxa"/>
                  <w:vAlign w:val="center"/>
                </w:tcPr>
                <w:p>
                  <w:pPr>
                    <w:pStyle w:val="Default"/>
                    <w:keepNext/>
                    <w:jc w:val="left"/>
                    <w:rPr>
                      <w:rFonts w:asciiTheme="minorHAnsi" w:hAnsiTheme="minorHAnsi" w:cstheme="minorHAnsi"/>
                      <w:bCs/>
                      <w:iCs w:val="0"/>
                      <w:color w:val="auto"/>
                      <w:sz w:val="22"/>
                    </w:rPr>
                  </w:pPr>
                  <w:r>
                    <w:rPr>
                      <w:rFonts w:asciiTheme="minorHAnsi" w:hAnsiTheme="minorHAnsi" w:cstheme="minorHAnsi"/>
                      <w:bCs/>
                      <w:iCs w:val="0"/>
                      <w:color w:val="auto"/>
                      <w:sz w:val="22"/>
                    </w:rPr>
                    <w:t>Condition 1 ou 2 satisfaite ?</w:t>
                  </w:r>
                </w:p>
              </w:tc>
              <w:tc>
                <w:tcPr>
                  <w:tcW w:w="907" w:type="dxa"/>
                  <w:tcBorders>
                    <w:tr2bl w:val="single" w:sz="4" w:space="0" w:color="auto"/>
                  </w:tcBorders>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p>
              </w:tc>
              <w:tc>
                <w:tcPr>
                  <w:tcW w:w="907" w:type="dxa"/>
                  <w:tcBorders>
                    <w:tr2bl w:val="single" w:sz="4" w:space="0" w:color="auto"/>
                  </w:tcBorders>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p>
              </w:tc>
              <w:tc>
                <w:tcPr>
                  <w:tcW w:w="907" w:type="dxa"/>
                  <w:tcBorders>
                    <w:right w:val="single" w:sz="4" w:space="0" w:color="auto"/>
                    <w:tr2bl w:val="single" w:sz="4" w:space="0" w:color="auto"/>
                  </w:tcBorders>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p>
              </w:tc>
              <w:tc>
                <w:tcPr>
                  <w:tcW w:w="907" w:type="dxa"/>
                  <w:tcBorders>
                    <w:top w:val="single" w:sz="4" w:space="0" w:color="auto"/>
                    <w:left w:val="single" w:sz="4" w:space="0" w:color="auto"/>
                    <w:bottom w:val="single" w:sz="4" w:space="0" w:color="auto"/>
                    <w:right w:val="single" w:sz="4" w:space="0" w:color="auto"/>
                  </w:tcBorders>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Cond. 2</w:t>
                  </w:r>
                </w:p>
              </w:tc>
              <w:tc>
                <w:tcPr>
                  <w:tcW w:w="907" w:type="dxa"/>
                  <w:tcBorders>
                    <w:top w:val="single" w:sz="4" w:space="0" w:color="auto"/>
                    <w:left w:val="single" w:sz="4" w:space="0" w:color="auto"/>
                    <w:bottom w:val="single" w:sz="4" w:space="0" w:color="auto"/>
                    <w:right w:val="single" w:sz="4" w:space="0" w:color="auto"/>
                  </w:tcBorders>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Cond. 2</w:t>
                  </w:r>
                </w:p>
              </w:tc>
              <w:tc>
                <w:tcPr>
                  <w:tcW w:w="907" w:type="dxa"/>
                  <w:tcBorders>
                    <w:top w:val="single" w:sz="4" w:space="0" w:color="auto"/>
                    <w:left w:val="single" w:sz="4" w:space="0" w:color="auto"/>
                    <w:bottom w:val="single" w:sz="4" w:space="0" w:color="auto"/>
                    <w:right w:val="single" w:sz="4" w:space="0" w:color="auto"/>
                  </w:tcBorders>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Cond. 2</w:t>
                  </w:r>
                </w:p>
              </w:tc>
              <w:tc>
                <w:tcPr>
                  <w:tcW w:w="907" w:type="dxa"/>
                  <w:tcBorders>
                    <w:top w:val="single" w:sz="4" w:space="0" w:color="auto"/>
                    <w:left w:val="single" w:sz="4" w:space="0" w:color="auto"/>
                    <w:bottom w:val="single" w:sz="4" w:space="0" w:color="auto"/>
                    <w:right w:val="single" w:sz="4" w:space="0" w:color="auto"/>
                  </w:tcBorders>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Cond. 2</w:t>
                  </w:r>
                </w:p>
              </w:tc>
              <w:tc>
                <w:tcPr>
                  <w:tcW w:w="907" w:type="dxa"/>
                  <w:tcBorders>
                    <w:top w:val="single" w:sz="4" w:space="0" w:color="auto"/>
                    <w:left w:val="single" w:sz="4" w:space="0" w:color="auto"/>
                    <w:bottom w:val="single" w:sz="4" w:space="0" w:color="auto"/>
                    <w:right w:val="single" w:sz="4" w:space="0" w:color="auto"/>
                  </w:tcBorders>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Cond. 2</w:t>
                  </w:r>
                </w:p>
              </w:tc>
            </w:tr>
            <w:tr>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533" w:type="dxa"/>
                  <w:vAlign w:val="center"/>
                </w:tcPr>
                <w:p>
                  <w:pPr>
                    <w:pStyle w:val="Default"/>
                    <w:keepNext/>
                    <w:jc w:val="left"/>
                    <w:rPr>
                      <w:rFonts w:asciiTheme="minorHAnsi" w:hAnsiTheme="minorHAnsi" w:cstheme="minorHAnsi"/>
                      <w:bCs/>
                      <w:iCs w:val="0"/>
                      <w:color w:val="auto"/>
                      <w:sz w:val="22"/>
                    </w:rPr>
                  </w:pPr>
                  <w:r>
                    <w:rPr>
                      <w:rFonts w:asciiTheme="minorHAnsi" w:hAnsiTheme="minorHAnsi" w:cstheme="minorHAnsi"/>
                      <w:bCs/>
                      <w:iCs w:val="0"/>
                      <w:color w:val="auto"/>
                      <w:sz w:val="22"/>
                    </w:rPr>
                    <w:t>Bénéficiaire ?</w:t>
                  </w:r>
                </w:p>
              </w:tc>
              <w:tc>
                <w:tcPr>
                  <w:tcW w:w="907" w:type="dxa"/>
                  <w:tcBorders>
                    <w:tr2bl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p>
              </w:tc>
              <w:tc>
                <w:tcPr>
                  <w:tcW w:w="907" w:type="dxa"/>
                  <w:tcBorders>
                    <w:tr2bl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p>
              </w:tc>
              <w:tc>
                <w:tcPr>
                  <w:tcW w:w="907" w:type="dxa"/>
                  <w:tcBorders>
                    <w:tr2bl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p>
              </w:tc>
              <w:tc>
                <w:tcPr>
                  <w:tcW w:w="907" w:type="dxa"/>
                  <w:tcBorders>
                    <w:top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OUI</w:t>
                  </w:r>
                </w:p>
              </w:tc>
              <w:tc>
                <w:tcPr>
                  <w:tcW w:w="907" w:type="dxa"/>
                  <w:tcBorders>
                    <w:top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OUI</w:t>
                  </w:r>
                </w:p>
              </w:tc>
              <w:tc>
                <w:tcPr>
                  <w:tcW w:w="907" w:type="dxa"/>
                  <w:tcBorders>
                    <w:top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OUI</w:t>
                  </w:r>
                </w:p>
              </w:tc>
              <w:tc>
                <w:tcPr>
                  <w:tcW w:w="907" w:type="dxa"/>
                  <w:tcBorders>
                    <w:top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OUI</w:t>
                  </w:r>
                </w:p>
              </w:tc>
              <w:tc>
                <w:tcPr>
                  <w:tcW w:w="907" w:type="dxa"/>
                  <w:tcBorders>
                    <w:top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OUI</w:t>
                  </w:r>
                </w:p>
              </w:tc>
            </w:tr>
          </w:tbl>
          <w:p>
            <w:pPr>
              <w:pStyle w:val="Default"/>
              <w:spacing w:before="120" w:after="120"/>
              <w:ind w:left="214"/>
              <w:jc w:val="both"/>
              <w:rPr>
                <w:rFonts w:asciiTheme="minorHAnsi" w:hAnsiTheme="minorHAnsi" w:cstheme="minorHAnsi"/>
                <w:bCs/>
                <w:iCs/>
                <w:sz w:val="22"/>
              </w:rPr>
            </w:pPr>
            <w:r>
              <w:rPr>
                <w:rFonts w:asciiTheme="minorHAnsi" w:hAnsiTheme="minorHAnsi" w:cstheme="minorHAnsi"/>
                <w:bCs/>
                <w:iCs/>
                <w:sz w:val="22"/>
              </w:rPr>
              <w:t xml:space="preserve">L’implantation </w:t>
            </w:r>
            <w:r>
              <w:rPr>
                <w:rFonts w:asciiTheme="minorHAnsi" w:hAnsiTheme="minorHAnsi" w:cstheme="minorHAnsi"/>
                <w:bCs/>
                <w:i/>
                <w:iCs/>
                <w:sz w:val="22"/>
              </w:rPr>
              <w:t>B</w:t>
            </w:r>
            <w:r>
              <w:rPr>
                <w:rFonts w:asciiTheme="minorHAnsi" w:hAnsiTheme="minorHAnsi" w:cstheme="minorHAnsi"/>
                <w:bCs/>
                <w:iCs/>
                <w:sz w:val="22"/>
              </w:rPr>
              <w:t xml:space="preserve"> relevait d’une classe supérieure à la classe 5 avant 2017-2018. Lors de chaque classement à partir de 17-18 elle a toujours été classée en classe 4. En 17-18, 18-19, 19-20, </w:t>
            </w:r>
            <w:r>
              <w:rPr>
                <w:rFonts w:asciiTheme="minorHAnsi" w:hAnsiTheme="minorHAnsi" w:cstheme="minorHAnsi"/>
                <w:bCs/>
                <w:iCs/>
                <w:sz w:val="22"/>
              </w:rPr>
              <w:br/>
              <w:t>20-21 et 21-22, elle satisfait la condition 2 et est donc bénéficiaire de l’encadrement différencié.</w:t>
            </w:r>
          </w:p>
          <w:p>
            <w:pPr>
              <w:pStyle w:val="Default"/>
              <w:spacing w:before="120" w:after="120"/>
              <w:ind w:left="497" w:hanging="283"/>
              <w:jc w:val="both"/>
              <w:rPr>
                <w:rFonts w:asciiTheme="minorHAnsi" w:hAnsiTheme="minorHAnsi" w:cstheme="minorHAnsi"/>
                <w:bCs/>
                <w:iCs/>
                <w:sz w:val="22"/>
              </w:rPr>
            </w:pPr>
            <w:r>
              <w:rPr>
                <w:rFonts w:asciiTheme="minorHAnsi" w:hAnsiTheme="minorHAnsi" w:cstheme="minorHAnsi"/>
                <w:bCs/>
                <w:iCs/>
                <w:sz w:val="22"/>
                <w:u w:val="single"/>
              </w:rPr>
              <w:t>Exemple 2</w:t>
            </w:r>
            <w:r>
              <w:rPr>
                <w:rFonts w:asciiTheme="minorHAnsi" w:hAnsiTheme="minorHAnsi" w:cstheme="minorHAnsi"/>
                <w:bCs/>
                <w:iCs/>
                <w:sz w:val="22"/>
              </w:rPr>
              <w:t xml:space="preserve"> : </w:t>
            </w:r>
          </w:p>
          <w:p>
            <w:pPr>
              <w:pStyle w:val="Default"/>
              <w:spacing w:after="120"/>
              <w:ind w:left="214" w:right="213"/>
              <w:jc w:val="both"/>
              <w:rPr>
                <w:rFonts w:asciiTheme="minorHAnsi" w:hAnsiTheme="minorHAnsi" w:cstheme="minorHAnsi"/>
                <w:bCs/>
                <w:iCs/>
                <w:sz w:val="22"/>
              </w:rPr>
            </w:pPr>
            <w:r>
              <w:rPr>
                <w:rFonts w:asciiTheme="minorHAnsi" w:hAnsiTheme="minorHAnsi" w:cstheme="minorHAnsi"/>
                <w:bCs/>
                <w:iCs/>
                <w:sz w:val="22"/>
              </w:rPr>
              <w:t xml:space="preserve">L’implantation </w:t>
            </w:r>
            <w:r>
              <w:rPr>
                <w:rFonts w:asciiTheme="minorHAnsi" w:hAnsiTheme="minorHAnsi" w:cstheme="minorHAnsi"/>
                <w:bCs/>
                <w:i/>
                <w:iCs/>
                <w:sz w:val="22"/>
              </w:rPr>
              <w:t>C</w:t>
            </w:r>
            <w:r>
              <w:rPr>
                <w:rFonts w:asciiTheme="minorHAnsi" w:hAnsiTheme="minorHAnsi" w:cstheme="minorHAnsi"/>
                <w:bCs/>
                <w:iCs/>
                <w:sz w:val="22"/>
              </w:rPr>
              <w:t xml:space="preserve"> est créée au 1</w:t>
            </w:r>
            <w:r>
              <w:rPr>
                <w:rFonts w:asciiTheme="minorHAnsi" w:hAnsiTheme="minorHAnsi" w:cstheme="minorHAnsi"/>
                <w:bCs/>
                <w:iCs/>
                <w:sz w:val="22"/>
                <w:vertAlign w:val="superscript"/>
              </w:rPr>
              <w:t>er</w:t>
            </w:r>
            <w:r>
              <w:rPr>
                <w:rFonts w:asciiTheme="minorHAnsi" w:hAnsiTheme="minorHAnsi" w:cstheme="minorHAnsi"/>
                <w:bCs/>
                <w:iCs/>
                <w:sz w:val="22"/>
              </w:rPr>
              <w:t xml:space="preserve"> septembre 2016 et obtient les classements suivants à partir de 2018-2019 :</w:t>
            </w:r>
          </w:p>
          <w:tbl>
            <w:tblPr>
              <w:tblStyle w:val="Tableausimple51"/>
              <w:tblW w:w="0" w:type="auto"/>
              <w:tblInd w:w="72" w:type="dxa"/>
              <w:tblLook w:val="04A0" w:firstRow="1" w:lastRow="0" w:firstColumn="1" w:lastColumn="0" w:noHBand="0" w:noVBand="1"/>
            </w:tblPr>
            <w:tblGrid>
              <w:gridCol w:w="1536"/>
              <w:gridCol w:w="906"/>
              <w:gridCol w:w="907"/>
              <w:gridCol w:w="906"/>
              <w:gridCol w:w="907"/>
              <w:gridCol w:w="907"/>
              <w:gridCol w:w="906"/>
              <w:gridCol w:w="907"/>
              <w:gridCol w:w="907"/>
            </w:tblGrid>
            <w:tr>
              <w:trPr>
                <w:cnfStyle w:val="100000000000" w:firstRow="1" w:lastRow="0" w:firstColumn="0" w:lastColumn="0" w:oddVBand="0" w:evenVBand="0" w:oddHBand="0" w:evenHBand="0" w:firstRowFirstColumn="0" w:firstRowLastColumn="0" w:lastRowFirstColumn="0" w:lastRowLastColumn="0"/>
                <w:trHeight w:val="351"/>
              </w:trPr>
              <w:tc>
                <w:tcPr>
                  <w:cnfStyle w:val="001000000100" w:firstRow="0" w:lastRow="0" w:firstColumn="1" w:lastColumn="0" w:oddVBand="0" w:evenVBand="0" w:oddHBand="0" w:evenHBand="0" w:firstRowFirstColumn="1" w:firstRowLastColumn="0" w:lastRowFirstColumn="0" w:lastRowLastColumn="0"/>
                  <w:tcW w:w="1536" w:type="dxa"/>
                  <w:tcBorders>
                    <w:right w:val="single" w:sz="4" w:space="0" w:color="auto"/>
                  </w:tcBorders>
                  <w:vAlign w:val="center"/>
                </w:tcPr>
                <w:p>
                  <w:pPr>
                    <w:pStyle w:val="Default"/>
                    <w:keepNext/>
                    <w:jc w:val="left"/>
                    <w:rPr>
                      <w:rFonts w:asciiTheme="minorHAnsi" w:hAnsiTheme="minorHAnsi" w:cstheme="minorHAnsi"/>
                      <w:bCs/>
                      <w:iCs w:val="0"/>
                      <w:color w:val="auto"/>
                      <w:sz w:val="22"/>
                    </w:rPr>
                  </w:pPr>
                  <w:r>
                    <w:rPr>
                      <w:rFonts w:asciiTheme="minorHAnsi" w:hAnsiTheme="minorHAnsi" w:cstheme="minorHAnsi"/>
                      <w:bCs/>
                      <w:iCs w:val="0"/>
                      <w:color w:val="auto"/>
                      <w:sz w:val="22"/>
                    </w:rPr>
                    <w:t xml:space="preserve">Année scolaire </w:t>
                  </w:r>
                </w:p>
              </w:tc>
              <w:tc>
                <w:tcPr>
                  <w:tcW w:w="906" w:type="dxa"/>
                  <w:tcBorders>
                    <w:left w:val="single" w:sz="4" w:space="0" w:color="auto"/>
                  </w:tcBorders>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color w:val="auto"/>
                      <w:sz w:val="22"/>
                    </w:rPr>
                  </w:pPr>
                  <w:r>
                    <w:rPr>
                      <w:rFonts w:asciiTheme="minorHAnsi" w:hAnsiTheme="minorHAnsi" w:cstheme="minorHAnsi"/>
                      <w:bCs/>
                      <w:iCs w:val="0"/>
                      <w:color w:val="auto"/>
                      <w:sz w:val="22"/>
                    </w:rPr>
                    <w:t>14-15</w:t>
                  </w:r>
                </w:p>
              </w:tc>
              <w:tc>
                <w:tcPr>
                  <w:tcW w:w="907"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color w:val="auto"/>
                      <w:sz w:val="22"/>
                    </w:rPr>
                  </w:pPr>
                  <w:r>
                    <w:rPr>
                      <w:rFonts w:asciiTheme="minorHAnsi" w:hAnsiTheme="minorHAnsi" w:cstheme="minorHAnsi"/>
                      <w:bCs/>
                      <w:iCs w:val="0"/>
                      <w:color w:val="auto"/>
                      <w:sz w:val="22"/>
                    </w:rPr>
                    <w:t>15-16</w:t>
                  </w:r>
                </w:p>
              </w:tc>
              <w:tc>
                <w:tcPr>
                  <w:tcW w:w="906"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color w:val="auto"/>
                      <w:sz w:val="22"/>
                    </w:rPr>
                  </w:pPr>
                  <w:r>
                    <w:rPr>
                      <w:rFonts w:asciiTheme="minorHAnsi" w:hAnsiTheme="minorHAnsi" w:cstheme="minorHAnsi"/>
                      <w:bCs/>
                      <w:iCs w:val="0"/>
                      <w:color w:val="auto"/>
                      <w:sz w:val="22"/>
                    </w:rPr>
                    <w:t>16-17</w:t>
                  </w:r>
                </w:p>
              </w:tc>
              <w:tc>
                <w:tcPr>
                  <w:tcW w:w="907"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color w:val="auto"/>
                      <w:sz w:val="22"/>
                    </w:rPr>
                  </w:pPr>
                  <w:r>
                    <w:rPr>
                      <w:rFonts w:asciiTheme="minorHAnsi" w:hAnsiTheme="minorHAnsi" w:cstheme="minorHAnsi"/>
                      <w:bCs/>
                      <w:iCs w:val="0"/>
                      <w:color w:val="auto"/>
                      <w:sz w:val="22"/>
                    </w:rPr>
                    <w:t>17-18</w:t>
                  </w:r>
                </w:p>
              </w:tc>
              <w:tc>
                <w:tcPr>
                  <w:tcW w:w="907"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color w:val="auto"/>
                      <w:sz w:val="22"/>
                    </w:rPr>
                  </w:pPr>
                  <w:r>
                    <w:rPr>
                      <w:rFonts w:asciiTheme="minorHAnsi" w:hAnsiTheme="minorHAnsi" w:cstheme="minorHAnsi"/>
                      <w:bCs/>
                      <w:iCs w:val="0"/>
                      <w:color w:val="auto"/>
                      <w:sz w:val="22"/>
                    </w:rPr>
                    <w:t>18-19</w:t>
                  </w:r>
                </w:p>
              </w:tc>
              <w:tc>
                <w:tcPr>
                  <w:tcW w:w="906"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color w:val="auto"/>
                      <w:sz w:val="22"/>
                    </w:rPr>
                  </w:pPr>
                  <w:r>
                    <w:rPr>
                      <w:rFonts w:asciiTheme="minorHAnsi" w:hAnsiTheme="minorHAnsi" w:cstheme="minorHAnsi"/>
                      <w:bCs/>
                      <w:iCs w:val="0"/>
                      <w:color w:val="auto"/>
                      <w:sz w:val="22"/>
                    </w:rPr>
                    <w:t>19-20</w:t>
                  </w:r>
                </w:p>
              </w:tc>
              <w:tc>
                <w:tcPr>
                  <w:tcW w:w="907"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color w:val="auto"/>
                      <w:sz w:val="22"/>
                    </w:rPr>
                  </w:pPr>
                  <w:r>
                    <w:rPr>
                      <w:rFonts w:asciiTheme="minorHAnsi" w:hAnsiTheme="minorHAnsi" w:cstheme="minorHAnsi"/>
                      <w:bCs/>
                      <w:iCs w:val="0"/>
                      <w:color w:val="auto"/>
                      <w:sz w:val="22"/>
                    </w:rPr>
                    <w:t>20-21</w:t>
                  </w:r>
                </w:p>
              </w:tc>
              <w:tc>
                <w:tcPr>
                  <w:tcW w:w="907"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color w:val="auto"/>
                      <w:sz w:val="22"/>
                    </w:rPr>
                  </w:pPr>
                  <w:r>
                    <w:rPr>
                      <w:rFonts w:asciiTheme="minorHAnsi" w:hAnsiTheme="minorHAnsi" w:cstheme="minorHAnsi"/>
                      <w:bCs/>
                      <w:iCs w:val="0"/>
                      <w:color w:val="auto"/>
                      <w:sz w:val="22"/>
                    </w:rPr>
                    <w:t>21-22</w:t>
                  </w:r>
                </w:p>
              </w:tc>
            </w:tr>
            <w:tr>
              <w:trPr>
                <w:cnfStyle w:val="000000100000" w:firstRow="0" w:lastRow="0" w:firstColumn="0" w:lastColumn="0" w:oddVBand="0" w:evenVBand="0" w:oddHBand="1" w:evenHBand="0" w:firstRowFirstColumn="0" w:firstRowLastColumn="0" w:lastRowFirstColumn="0" w:lastRowLastColumn="0"/>
                <w:trHeight w:val="543"/>
              </w:trPr>
              <w:tc>
                <w:tcPr>
                  <w:cnfStyle w:val="001000000000" w:firstRow="0" w:lastRow="0" w:firstColumn="1" w:lastColumn="0" w:oddVBand="0" w:evenVBand="0" w:oddHBand="0" w:evenHBand="0" w:firstRowFirstColumn="0" w:firstRowLastColumn="0" w:lastRowFirstColumn="0" w:lastRowLastColumn="0"/>
                  <w:tcW w:w="1536" w:type="dxa"/>
                  <w:vAlign w:val="center"/>
                </w:tcPr>
                <w:p>
                  <w:pPr>
                    <w:pStyle w:val="Default"/>
                    <w:keepNext/>
                    <w:jc w:val="left"/>
                    <w:rPr>
                      <w:rFonts w:asciiTheme="minorHAnsi" w:hAnsiTheme="minorHAnsi" w:cstheme="minorHAnsi"/>
                      <w:bCs/>
                      <w:iCs w:val="0"/>
                      <w:color w:val="auto"/>
                      <w:sz w:val="22"/>
                    </w:rPr>
                  </w:pPr>
                  <w:r>
                    <w:rPr>
                      <w:rFonts w:asciiTheme="minorHAnsi" w:hAnsiTheme="minorHAnsi" w:cstheme="minorHAnsi"/>
                      <w:bCs/>
                      <w:iCs w:val="0"/>
                      <w:color w:val="auto"/>
                      <w:sz w:val="22"/>
                    </w:rPr>
                    <w:t>Classe ED</w:t>
                  </w:r>
                </w:p>
              </w:tc>
              <w:tc>
                <w:tcPr>
                  <w:tcW w:w="906" w:type="dxa"/>
                  <w:tcBorders>
                    <w:top w:val="single" w:sz="4" w:space="0" w:color="7F7F7F" w:themeColor="text1" w:themeTint="80"/>
                    <w:tr2bl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p>
              </w:tc>
              <w:tc>
                <w:tcPr>
                  <w:tcW w:w="907" w:type="dxa"/>
                  <w:tcBorders>
                    <w:top w:val="single" w:sz="4" w:space="0" w:color="7F7F7F" w:themeColor="text1" w:themeTint="80"/>
                    <w:tr2bl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p>
              </w:tc>
              <w:tc>
                <w:tcPr>
                  <w:tcW w:w="906" w:type="dxa"/>
                  <w:tcBorders>
                    <w:top w:val="single" w:sz="4" w:space="0" w:color="7F7F7F" w:themeColor="text1" w:themeTint="80"/>
                    <w:tr2bl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p>
              </w:tc>
              <w:tc>
                <w:tcPr>
                  <w:tcW w:w="907" w:type="dxa"/>
                  <w:tcBorders>
                    <w:top w:val="single" w:sz="4" w:space="0" w:color="7F7F7F" w:themeColor="text1" w:themeTint="80"/>
                    <w:tr2bl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p>
              </w:tc>
              <w:tc>
                <w:tcPr>
                  <w:tcW w:w="907" w:type="dxa"/>
                  <w:tcBorders>
                    <w:bottom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5</w:t>
                  </w:r>
                </w:p>
              </w:tc>
              <w:tc>
                <w:tcPr>
                  <w:tcW w:w="906" w:type="dxa"/>
                  <w:tcBorders>
                    <w:bottom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5</w:t>
                  </w:r>
                </w:p>
              </w:tc>
              <w:tc>
                <w:tcPr>
                  <w:tcW w:w="907" w:type="dxa"/>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6</w:t>
                  </w:r>
                </w:p>
              </w:tc>
              <w:tc>
                <w:tcPr>
                  <w:tcW w:w="907" w:type="dxa"/>
                  <w:tcBorders>
                    <w:bottom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5</w:t>
                  </w:r>
                </w:p>
              </w:tc>
            </w:tr>
            <w:tr>
              <w:trPr>
                <w:trHeight w:val="537"/>
              </w:trPr>
              <w:tc>
                <w:tcPr>
                  <w:cnfStyle w:val="001000000000" w:firstRow="0" w:lastRow="0" w:firstColumn="1" w:lastColumn="0" w:oddVBand="0" w:evenVBand="0" w:oddHBand="0" w:evenHBand="0" w:firstRowFirstColumn="0" w:firstRowLastColumn="0" w:lastRowFirstColumn="0" w:lastRowLastColumn="0"/>
                  <w:tcW w:w="1536" w:type="dxa"/>
                  <w:vAlign w:val="center"/>
                </w:tcPr>
                <w:p>
                  <w:pPr>
                    <w:pStyle w:val="Default"/>
                    <w:keepNext/>
                    <w:jc w:val="left"/>
                    <w:rPr>
                      <w:rFonts w:asciiTheme="minorHAnsi" w:hAnsiTheme="minorHAnsi" w:cstheme="minorHAnsi"/>
                      <w:bCs/>
                      <w:iCs w:val="0"/>
                      <w:color w:val="auto"/>
                      <w:sz w:val="22"/>
                    </w:rPr>
                  </w:pPr>
                  <w:r>
                    <w:rPr>
                      <w:rFonts w:asciiTheme="minorHAnsi" w:hAnsiTheme="minorHAnsi" w:cstheme="minorHAnsi"/>
                      <w:bCs/>
                      <w:iCs w:val="0"/>
                      <w:color w:val="auto"/>
                      <w:sz w:val="22"/>
                    </w:rPr>
                    <w:t>Condition 1 ou 2 satisfaite ?</w:t>
                  </w:r>
                </w:p>
              </w:tc>
              <w:tc>
                <w:tcPr>
                  <w:tcW w:w="906" w:type="dxa"/>
                  <w:tcBorders>
                    <w:tr2bl w:val="single" w:sz="4" w:space="0" w:color="auto"/>
                  </w:tcBorders>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p>
              </w:tc>
              <w:tc>
                <w:tcPr>
                  <w:tcW w:w="907" w:type="dxa"/>
                  <w:tcBorders>
                    <w:tr2bl w:val="single" w:sz="4" w:space="0" w:color="auto"/>
                  </w:tcBorders>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p>
              </w:tc>
              <w:tc>
                <w:tcPr>
                  <w:tcW w:w="906" w:type="dxa"/>
                  <w:tcBorders>
                    <w:tr2bl w:val="single" w:sz="4" w:space="0" w:color="auto"/>
                  </w:tcBorders>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p>
              </w:tc>
              <w:tc>
                <w:tcPr>
                  <w:tcW w:w="907" w:type="dxa"/>
                  <w:tcBorders>
                    <w:right w:val="single" w:sz="4" w:space="0" w:color="auto"/>
                    <w:tr2bl w:val="single" w:sz="4" w:space="0" w:color="auto"/>
                  </w:tcBorders>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p>
              </w:tc>
              <w:tc>
                <w:tcPr>
                  <w:tcW w:w="907" w:type="dxa"/>
                  <w:tcBorders>
                    <w:top w:val="single" w:sz="4" w:space="0" w:color="auto"/>
                    <w:left w:val="single" w:sz="4" w:space="0" w:color="auto"/>
                    <w:bottom w:val="single" w:sz="4" w:space="0" w:color="auto"/>
                    <w:right w:val="single" w:sz="4" w:space="0" w:color="auto"/>
                  </w:tcBorders>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Cond. 2</w:t>
                  </w:r>
                </w:p>
              </w:tc>
              <w:tc>
                <w:tcPr>
                  <w:tcW w:w="906" w:type="dxa"/>
                  <w:tcBorders>
                    <w:top w:val="single" w:sz="4" w:space="0" w:color="auto"/>
                    <w:left w:val="single" w:sz="4" w:space="0" w:color="auto"/>
                    <w:bottom w:val="single" w:sz="4" w:space="0" w:color="auto"/>
                    <w:right w:val="single" w:sz="4" w:space="0" w:color="auto"/>
                  </w:tcBorders>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Cond.2</w:t>
                  </w:r>
                </w:p>
              </w:tc>
              <w:tc>
                <w:tcPr>
                  <w:tcW w:w="907" w:type="dxa"/>
                  <w:tcBorders>
                    <w:left w:val="single" w:sz="4" w:space="0" w:color="auto"/>
                    <w:right w:val="single" w:sz="4" w:space="0" w:color="auto"/>
                  </w:tcBorders>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NON</w:t>
                  </w:r>
                </w:p>
              </w:tc>
              <w:tc>
                <w:tcPr>
                  <w:tcW w:w="907" w:type="dxa"/>
                  <w:tcBorders>
                    <w:top w:val="single" w:sz="4" w:space="0" w:color="auto"/>
                    <w:left w:val="single" w:sz="4" w:space="0" w:color="auto"/>
                    <w:bottom w:val="single" w:sz="4" w:space="0" w:color="auto"/>
                    <w:right w:val="single" w:sz="4" w:space="0" w:color="auto"/>
                  </w:tcBorders>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iCs/>
                      <w:color w:val="auto"/>
                      <w:sz w:val="22"/>
                    </w:rPr>
                  </w:pPr>
                  <w:r>
                    <w:rPr>
                      <w:rFonts w:asciiTheme="minorHAnsi" w:hAnsiTheme="minorHAnsi" w:cstheme="minorHAnsi"/>
                      <w:b/>
                      <w:bCs/>
                      <w:iCs/>
                      <w:color w:val="auto"/>
                      <w:sz w:val="22"/>
                    </w:rPr>
                    <w:t>Cond.1</w:t>
                  </w:r>
                </w:p>
              </w:tc>
            </w:tr>
            <w:tr>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536" w:type="dxa"/>
                  <w:vAlign w:val="center"/>
                </w:tcPr>
                <w:p>
                  <w:pPr>
                    <w:pStyle w:val="Default"/>
                    <w:keepNext/>
                    <w:jc w:val="left"/>
                    <w:rPr>
                      <w:rFonts w:asciiTheme="minorHAnsi" w:hAnsiTheme="minorHAnsi" w:cstheme="minorHAnsi"/>
                      <w:bCs/>
                      <w:iCs w:val="0"/>
                      <w:color w:val="auto"/>
                      <w:sz w:val="22"/>
                    </w:rPr>
                  </w:pPr>
                  <w:r>
                    <w:rPr>
                      <w:rFonts w:asciiTheme="minorHAnsi" w:hAnsiTheme="minorHAnsi" w:cstheme="minorHAnsi"/>
                      <w:bCs/>
                      <w:iCs w:val="0"/>
                      <w:color w:val="auto"/>
                      <w:sz w:val="22"/>
                    </w:rPr>
                    <w:t>Bénéficiaire ?</w:t>
                  </w:r>
                </w:p>
              </w:tc>
              <w:tc>
                <w:tcPr>
                  <w:tcW w:w="906" w:type="dxa"/>
                  <w:tcBorders>
                    <w:tr2bl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p>
              </w:tc>
              <w:tc>
                <w:tcPr>
                  <w:tcW w:w="907" w:type="dxa"/>
                  <w:tcBorders>
                    <w:tr2bl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p>
              </w:tc>
              <w:tc>
                <w:tcPr>
                  <w:tcW w:w="906" w:type="dxa"/>
                  <w:tcBorders>
                    <w:tr2bl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p>
              </w:tc>
              <w:tc>
                <w:tcPr>
                  <w:tcW w:w="907" w:type="dxa"/>
                  <w:tcBorders>
                    <w:tr2bl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p>
              </w:tc>
              <w:tc>
                <w:tcPr>
                  <w:tcW w:w="907" w:type="dxa"/>
                  <w:tcBorders>
                    <w:top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OUI</w:t>
                  </w:r>
                </w:p>
              </w:tc>
              <w:tc>
                <w:tcPr>
                  <w:tcW w:w="906" w:type="dxa"/>
                  <w:tcBorders>
                    <w:top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OUI</w:t>
                  </w:r>
                </w:p>
              </w:tc>
              <w:tc>
                <w:tcPr>
                  <w:tcW w:w="907" w:type="dxa"/>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NON</w:t>
                  </w:r>
                </w:p>
              </w:tc>
              <w:tc>
                <w:tcPr>
                  <w:tcW w:w="907" w:type="dxa"/>
                  <w:tcBorders>
                    <w:top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OUI</w:t>
                  </w:r>
                </w:p>
              </w:tc>
            </w:tr>
          </w:tbl>
          <w:p>
            <w:pPr>
              <w:pStyle w:val="Default"/>
              <w:tabs>
                <w:tab w:val="left" w:pos="7868"/>
              </w:tabs>
              <w:spacing w:before="120"/>
              <w:ind w:left="214" w:right="213"/>
              <w:jc w:val="both"/>
              <w:rPr>
                <w:rFonts w:asciiTheme="minorHAnsi" w:hAnsiTheme="minorHAnsi" w:cstheme="minorHAnsi"/>
                <w:bCs/>
                <w:iCs/>
                <w:sz w:val="22"/>
              </w:rPr>
            </w:pPr>
            <w:r>
              <w:rPr>
                <w:rFonts w:asciiTheme="minorHAnsi" w:hAnsiTheme="minorHAnsi" w:cstheme="minorHAnsi"/>
                <w:bCs/>
                <w:iCs/>
                <w:sz w:val="22"/>
              </w:rPr>
              <w:t xml:space="preserve">En </w:t>
            </w:r>
            <w:r>
              <w:rPr>
                <w:rFonts w:asciiTheme="minorHAnsi" w:hAnsiTheme="minorHAnsi" w:cstheme="minorHAnsi"/>
                <w:b/>
                <w:bCs/>
                <w:iCs/>
                <w:sz w:val="22"/>
              </w:rPr>
              <w:t>2018-2019</w:t>
            </w:r>
            <w:r>
              <w:rPr>
                <w:rFonts w:asciiTheme="minorHAnsi" w:hAnsiTheme="minorHAnsi" w:cstheme="minorHAnsi"/>
                <w:bCs/>
                <w:iCs/>
                <w:sz w:val="22"/>
              </w:rPr>
              <w:t xml:space="preserve"> et </w:t>
            </w:r>
            <w:r>
              <w:rPr>
                <w:rFonts w:asciiTheme="minorHAnsi" w:hAnsiTheme="minorHAnsi" w:cstheme="minorHAnsi"/>
                <w:b/>
                <w:bCs/>
                <w:iCs/>
                <w:sz w:val="22"/>
              </w:rPr>
              <w:t>2019-2020</w:t>
            </w:r>
            <w:r>
              <w:rPr>
                <w:rFonts w:asciiTheme="minorHAnsi" w:hAnsiTheme="minorHAnsi" w:cstheme="minorHAnsi"/>
                <w:bCs/>
                <w:iCs/>
                <w:sz w:val="22"/>
              </w:rPr>
              <w:t xml:space="preserve">, l’implantation </w:t>
            </w:r>
            <w:r>
              <w:rPr>
                <w:rFonts w:asciiTheme="minorHAnsi" w:hAnsiTheme="minorHAnsi" w:cstheme="minorHAnsi"/>
                <w:bCs/>
                <w:i/>
                <w:iCs/>
                <w:sz w:val="22"/>
              </w:rPr>
              <w:t>C</w:t>
            </w:r>
            <w:r>
              <w:rPr>
                <w:rFonts w:asciiTheme="minorHAnsi" w:hAnsiTheme="minorHAnsi" w:cstheme="minorHAnsi"/>
                <w:bCs/>
                <w:iCs/>
                <w:sz w:val="22"/>
              </w:rPr>
              <w:t xml:space="preserve"> a toujours relevé de la classe 5 depuis son premier classement en 18-19. Elle répond donc à la condition 2 et est bénéficiaire durant ces 2 années.</w:t>
            </w:r>
          </w:p>
          <w:p>
            <w:pPr>
              <w:pStyle w:val="Default"/>
              <w:ind w:left="214" w:right="213"/>
              <w:jc w:val="both"/>
              <w:rPr>
                <w:rFonts w:asciiTheme="minorHAnsi" w:hAnsiTheme="minorHAnsi" w:cstheme="minorHAnsi"/>
                <w:bCs/>
                <w:iCs/>
                <w:sz w:val="22"/>
              </w:rPr>
            </w:pPr>
            <w:r>
              <w:rPr>
                <w:rFonts w:asciiTheme="minorHAnsi" w:hAnsiTheme="minorHAnsi" w:cstheme="minorHAnsi"/>
                <w:bCs/>
                <w:iCs/>
                <w:sz w:val="22"/>
              </w:rPr>
              <w:t xml:space="preserve">En </w:t>
            </w:r>
            <w:r>
              <w:rPr>
                <w:rFonts w:asciiTheme="minorHAnsi" w:hAnsiTheme="minorHAnsi" w:cstheme="minorHAnsi"/>
                <w:b/>
                <w:bCs/>
                <w:iCs/>
                <w:sz w:val="22"/>
              </w:rPr>
              <w:t>2020-2021</w:t>
            </w:r>
            <w:r>
              <w:rPr>
                <w:rFonts w:asciiTheme="minorHAnsi" w:hAnsiTheme="minorHAnsi" w:cstheme="minorHAnsi"/>
                <w:bCs/>
                <w:iCs/>
                <w:sz w:val="22"/>
              </w:rPr>
              <w:t xml:space="preserve">, elle n’est plus classée parmi les classes 1 à 5 et donc ne satisfait plus la condition 2. De plus, elle est classée parmi les classes 1 à 5 </w:t>
            </w:r>
            <w:r>
              <w:rPr>
                <w:rFonts w:asciiTheme="minorHAnsi" w:hAnsiTheme="minorHAnsi" w:cstheme="minorHAnsi"/>
                <w:bCs/>
                <w:iCs/>
                <w:sz w:val="22"/>
                <w:u w:val="single"/>
              </w:rPr>
              <w:t>seulement à 2 reprises</w:t>
            </w:r>
            <w:r>
              <w:rPr>
                <w:rFonts w:asciiTheme="minorHAnsi" w:hAnsiTheme="minorHAnsi" w:cstheme="minorHAnsi"/>
                <w:bCs/>
                <w:iCs/>
                <w:sz w:val="22"/>
              </w:rPr>
              <w:t xml:space="preserve"> sur les 6 dernières années (en 18-19 et en 19-20) et ne satisfait donc pas non plus la condition 1. Par conséquent, elle n’est plus bénéficiaire.</w:t>
            </w:r>
          </w:p>
          <w:p>
            <w:pPr>
              <w:pStyle w:val="Default"/>
              <w:spacing w:after="120"/>
              <w:ind w:left="214" w:right="213"/>
              <w:jc w:val="both"/>
              <w:rPr>
                <w:rFonts w:asciiTheme="minorHAnsi" w:hAnsiTheme="minorHAnsi" w:cstheme="minorHAnsi"/>
                <w:bCs/>
                <w:iCs/>
                <w:sz w:val="22"/>
              </w:rPr>
            </w:pPr>
            <w:r>
              <w:rPr>
                <w:rFonts w:asciiTheme="minorHAnsi" w:hAnsiTheme="minorHAnsi" w:cstheme="minorHAnsi"/>
                <w:bCs/>
                <w:iCs/>
                <w:sz w:val="22"/>
              </w:rPr>
              <w:t xml:space="preserve">En </w:t>
            </w:r>
            <w:r>
              <w:rPr>
                <w:rFonts w:asciiTheme="minorHAnsi" w:hAnsiTheme="minorHAnsi" w:cstheme="minorHAnsi"/>
                <w:b/>
                <w:bCs/>
                <w:iCs/>
                <w:sz w:val="22"/>
              </w:rPr>
              <w:t>2021-2022</w:t>
            </w:r>
            <w:r>
              <w:rPr>
                <w:rFonts w:asciiTheme="minorHAnsi" w:hAnsiTheme="minorHAnsi" w:cstheme="minorHAnsi"/>
                <w:bCs/>
                <w:iCs/>
                <w:sz w:val="22"/>
              </w:rPr>
              <w:t>, l’implantation est désormais classée parmi les classes 1 à 5 à 3 reprises sur les 6 dernières années (en 18-19, en 19-20 et en 21-22) et satisfait la condition 1. Elle redevient bénéficiaire.</w:t>
            </w:r>
          </w:p>
          <w:p>
            <w:pPr>
              <w:pStyle w:val="Default"/>
              <w:spacing w:before="120" w:after="120"/>
              <w:ind w:left="214" w:right="213"/>
              <w:jc w:val="both"/>
              <w:rPr>
                <w:rFonts w:asciiTheme="minorHAnsi" w:hAnsiTheme="minorHAnsi" w:cstheme="minorHAnsi"/>
                <w:bCs/>
                <w:iCs/>
                <w:sz w:val="22"/>
              </w:rPr>
            </w:pPr>
          </w:p>
        </w:tc>
      </w:tr>
    </w:tbl>
    <w:p>
      <w:pPr>
        <w:pStyle w:val="Paragraphedeliste"/>
        <w:numPr>
          <w:ilvl w:val="0"/>
          <w:numId w:val="20"/>
        </w:numPr>
        <w:spacing w:before="360" w:after="240"/>
        <w:ind w:left="425" w:hanging="425"/>
        <w:contextualSpacing w:val="0"/>
        <w:jc w:val="both"/>
        <w:rPr>
          <w:rFonts w:asciiTheme="minorHAnsi" w:hAnsiTheme="minorHAnsi" w:cstheme="minorHAnsi"/>
          <w:b/>
          <w:bCs/>
          <w:sz w:val="28"/>
          <w:szCs w:val="28"/>
          <w:u w:val="single"/>
        </w:rPr>
      </w:pPr>
      <w:r>
        <w:rPr>
          <w:rFonts w:asciiTheme="minorHAnsi" w:hAnsiTheme="minorHAnsi" w:cstheme="minorHAnsi"/>
          <w:b/>
          <w:bCs/>
          <w:sz w:val="28"/>
          <w:szCs w:val="28"/>
          <w:u w:val="single"/>
        </w:rPr>
        <w:t>Règles de calcul des périodes et des moyens complémentaires</w:t>
      </w:r>
    </w:p>
    <w:p>
      <w:pPr>
        <w:pStyle w:val="Default"/>
        <w:spacing w:after="120"/>
        <w:jc w:val="both"/>
        <w:rPr>
          <w:rFonts w:asciiTheme="minorHAnsi" w:hAnsiTheme="minorHAnsi" w:cstheme="minorHAnsi"/>
          <w:bCs/>
          <w:iCs/>
          <w:sz w:val="22"/>
        </w:rPr>
      </w:pPr>
      <w:r>
        <w:rPr>
          <w:rFonts w:asciiTheme="minorHAnsi" w:hAnsiTheme="minorHAnsi" w:cstheme="minorHAnsi"/>
          <w:bCs/>
          <w:iCs/>
          <w:sz w:val="22"/>
        </w:rPr>
        <w:t>Les implantations bénéficiaires de l’encadrement différencié reçoivent, d’une part, des moyens d’encadrement sous forme de périodes-professeurs complémentaires et, d’autre part, des moyens de fonctionnement, ces moyens étant calculés chaque année scolaire.</w:t>
      </w:r>
    </w:p>
    <w:p>
      <w:pPr>
        <w:pStyle w:val="Default"/>
        <w:spacing w:after="120"/>
        <w:jc w:val="both"/>
        <w:rPr>
          <w:rFonts w:asciiTheme="minorHAnsi" w:hAnsiTheme="minorHAnsi" w:cstheme="minorHAnsi"/>
          <w:bCs/>
          <w:iCs/>
          <w:sz w:val="22"/>
        </w:rPr>
      </w:pPr>
      <w:r>
        <w:rPr>
          <w:rFonts w:asciiTheme="minorHAnsi" w:hAnsiTheme="minorHAnsi" w:cstheme="minorHAnsi"/>
          <w:bCs/>
          <w:iCs/>
          <w:sz w:val="22"/>
        </w:rPr>
        <w:t>Chaque année, avant le 15 avril, les Services du Gouvernement informent les chefs d’établissement ou les pouvoirs organisateurs, selon les cas, des moyens d’encadrement et des moyens de fonctionnement complémentaires octroyés à leurs implantations pour l’année scolaire suivante.</w:t>
      </w:r>
    </w:p>
    <w:p>
      <w:pPr>
        <w:pStyle w:val="Default"/>
        <w:spacing w:after="240"/>
        <w:jc w:val="both"/>
        <w:rPr>
          <w:rFonts w:asciiTheme="minorHAnsi" w:hAnsiTheme="minorHAnsi" w:cstheme="minorHAnsi"/>
          <w:bCs/>
          <w:iCs/>
          <w:sz w:val="22"/>
        </w:rPr>
      </w:pPr>
      <w:r>
        <w:rPr>
          <w:rFonts w:asciiTheme="minorHAnsi" w:hAnsiTheme="minorHAnsi" w:cstheme="minorHAnsi"/>
          <w:bCs/>
          <w:iCs/>
          <w:color w:val="auto"/>
          <w:sz w:val="22"/>
          <w:lang w:val="fr-FR" w:eastAsia="fr-FR"/>
        </w:rPr>
        <w:t>Un</w:t>
      </w:r>
      <w:r>
        <w:rPr>
          <w:rFonts w:asciiTheme="minorHAnsi" w:hAnsiTheme="minorHAnsi" w:cstheme="minorHAnsi"/>
          <w:bCs/>
          <w:iCs/>
          <w:sz w:val="22"/>
        </w:rPr>
        <w:t xml:space="preserve"> total de 13.686 périodes et une enveloppe de 6.203.000 euros, indexés annuellement à partir de l’année civile 2018, sont répartis entre les implantations bénéficiaires de l’encadrement différencié. Les règles de calculs sont identiques tant pour déterminer la répartition des périodes que pour établir la répartition des crédits complémentaires par implantation.</w:t>
      </w:r>
    </w:p>
    <w:p>
      <w:pPr>
        <w:pStyle w:val="Default"/>
        <w:numPr>
          <w:ilvl w:val="1"/>
          <w:numId w:val="20"/>
        </w:numPr>
        <w:spacing w:after="240"/>
        <w:ind w:left="908" w:hanging="454"/>
        <w:jc w:val="both"/>
        <w:rPr>
          <w:rFonts w:asciiTheme="minorHAnsi" w:hAnsiTheme="minorHAnsi" w:cstheme="minorHAnsi"/>
          <w:b/>
          <w:bCs/>
          <w:iCs/>
          <w:u w:val="single"/>
        </w:rPr>
      </w:pPr>
      <w:r>
        <w:rPr>
          <w:rFonts w:asciiTheme="minorHAnsi" w:hAnsiTheme="minorHAnsi" w:cstheme="minorHAnsi"/>
          <w:b/>
          <w:bCs/>
          <w:iCs/>
          <w:u w:val="single"/>
        </w:rPr>
        <w:t>Règle générale</w:t>
      </w:r>
    </w:p>
    <w:p>
      <w:pPr>
        <w:pStyle w:val="Default"/>
        <w:spacing w:after="120"/>
        <w:jc w:val="both"/>
        <w:rPr>
          <w:rFonts w:asciiTheme="minorHAnsi" w:hAnsiTheme="minorHAnsi" w:cstheme="minorHAnsi"/>
          <w:bCs/>
          <w:iCs/>
          <w:sz w:val="22"/>
        </w:rPr>
      </w:pPr>
      <w:r>
        <w:rPr>
          <w:rFonts w:asciiTheme="minorHAnsi" w:hAnsiTheme="minorHAnsi" w:cstheme="minorHAnsi"/>
          <w:bCs/>
          <w:iCs/>
          <w:sz w:val="22"/>
        </w:rPr>
        <w:t xml:space="preserve">La détermination des moyens complémentaires octroyés aux implantations bénéficiaires est </w:t>
      </w:r>
      <w:r>
        <w:rPr>
          <w:rFonts w:asciiTheme="minorHAnsi" w:hAnsiTheme="minorHAnsi" w:cstheme="minorHAnsi"/>
          <w:b/>
          <w:bCs/>
          <w:iCs/>
          <w:sz w:val="22"/>
        </w:rPr>
        <w:t>basée sur leurs 6 derniers classements</w:t>
      </w:r>
      <w:r>
        <w:rPr>
          <w:rFonts w:asciiTheme="minorHAnsi" w:hAnsiTheme="minorHAnsi" w:cstheme="minorHAnsi"/>
          <w:bCs/>
          <w:iCs/>
          <w:sz w:val="22"/>
        </w:rPr>
        <w:t xml:space="preserve">. Ce système permet de trouver un équilibre entre le besoin de stabilité organisationnelle et budgétaire des écoles et la nécessité de coller au plus près de la réalité sociodémographique de leurs implantations. </w:t>
      </w:r>
    </w:p>
    <w:p>
      <w:pPr>
        <w:pStyle w:val="Default"/>
        <w:spacing w:after="120"/>
        <w:jc w:val="both"/>
        <w:rPr>
          <w:rFonts w:asciiTheme="minorHAnsi" w:hAnsiTheme="minorHAnsi" w:cstheme="minorHAnsi"/>
          <w:bCs/>
          <w:iCs/>
          <w:sz w:val="22"/>
        </w:rPr>
      </w:pPr>
      <w:r>
        <w:rPr>
          <w:rFonts w:asciiTheme="minorHAnsi" w:hAnsiTheme="minorHAnsi" w:cstheme="minorHAnsi"/>
          <w:bCs/>
          <w:iCs/>
          <w:sz w:val="22"/>
        </w:rPr>
        <w:t>Par conséquent, le calcul s’effectue en plusieurs étapes :</w:t>
      </w:r>
    </w:p>
    <w:p>
      <w:pPr>
        <w:pStyle w:val="Default"/>
        <w:numPr>
          <w:ilvl w:val="0"/>
          <w:numId w:val="35"/>
        </w:numPr>
        <w:spacing w:after="120"/>
        <w:jc w:val="both"/>
        <w:rPr>
          <w:rFonts w:asciiTheme="minorHAnsi" w:hAnsiTheme="minorHAnsi" w:cstheme="minorHAnsi"/>
          <w:bCs/>
          <w:iCs/>
          <w:sz w:val="22"/>
        </w:rPr>
      </w:pPr>
      <w:r>
        <w:rPr>
          <w:rFonts w:asciiTheme="minorHAnsi" w:hAnsiTheme="minorHAnsi" w:cstheme="minorHAnsi"/>
          <w:b/>
          <w:bCs/>
          <w:iCs/>
          <w:sz w:val="22"/>
          <w:u w:val="single"/>
        </w:rPr>
        <w:t>Première étape</w:t>
      </w:r>
      <w:r>
        <w:rPr>
          <w:rFonts w:asciiTheme="minorHAnsi" w:hAnsiTheme="minorHAnsi" w:cstheme="minorHAnsi"/>
          <w:bCs/>
          <w:iCs/>
          <w:sz w:val="22"/>
        </w:rPr>
        <w:t xml:space="preserve"> : </w:t>
      </w:r>
    </w:p>
    <w:p>
      <w:pPr>
        <w:pStyle w:val="Default"/>
        <w:spacing w:after="120"/>
        <w:jc w:val="both"/>
        <w:rPr>
          <w:rFonts w:asciiTheme="minorHAnsi" w:hAnsiTheme="minorHAnsi" w:cstheme="minorHAnsi"/>
          <w:bCs/>
          <w:iCs/>
          <w:sz w:val="22"/>
        </w:rPr>
      </w:pPr>
      <w:r>
        <w:rPr>
          <w:rFonts w:asciiTheme="minorHAnsi" w:hAnsiTheme="minorHAnsi" w:cstheme="minorHAnsi"/>
          <w:bCs/>
          <w:iCs/>
          <w:sz w:val="22"/>
        </w:rPr>
        <w:t xml:space="preserve">Pour l’année scolaire concernée, un </w:t>
      </w:r>
      <w:r>
        <w:rPr>
          <w:rFonts w:asciiTheme="minorHAnsi" w:hAnsiTheme="minorHAnsi" w:cstheme="minorHAnsi"/>
          <w:b/>
          <w:bCs/>
          <w:iCs/>
          <w:sz w:val="22"/>
        </w:rPr>
        <w:t>montant théorique</w:t>
      </w:r>
      <w:r>
        <w:rPr>
          <w:rFonts w:asciiTheme="minorHAnsi" w:hAnsiTheme="minorHAnsi" w:cstheme="minorHAnsi"/>
          <w:bCs/>
          <w:iCs/>
          <w:sz w:val="22"/>
        </w:rPr>
        <w:t xml:space="preserve"> est calculé par implantation en multipliant le </w:t>
      </w:r>
      <w:r>
        <w:rPr>
          <w:rFonts w:asciiTheme="minorHAnsi" w:hAnsiTheme="minorHAnsi" w:cstheme="minorHAnsi"/>
          <w:b/>
          <w:bCs/>
          <w:iCs/>
          <w:sz w:val="22"/>
        </w:rPr>
        <w:t>nombre d’élèves</w:t>
      </w:r>
      <w:r>
        <w:rPr>
          <w:rFonts w:asciiTheme="minorHAnsi" w:hAnsiTheme="minorHAnsi" w:cstheme="minorHAnsi"/>
          <w:bCs/>
          <w:iCs/>
          <w:sz w:val="22"/>
        </w:rPr>
        <w:t xml:space="preserve"> qui y sont régulièrement inscrits au 15 janvier de l’année civile précédente par le </w:t>
      </w:r>
      <w:r>
        <w:rPr>
          <w:rFonts w:asciiTheme="minorHAnsi" w:hAnsiTheme="minorHAnsi" w:cstheme="minorHAnsi"/>
          <w:b/>
          <w:bCs/>
          <w:iCs/>
          <w:sz w:val="22"/>
        </w:rPr>
        <w:t>coefficient de classe</w:t>
      </w:r>
      <w:r>
        <w:rPr>
          <w:rFonts w:asciiTheme="minorHAnsi" w:hAnsiTheme="minorHAnsi" w:cstheme="minorHAnsi"/>
          <w:bCs/>
          <w:iCs/>
          <w:sz w:val="22"/>
        </w:rPr>
        <w:t xml:space="preserve"> correspondant à la classe à laquelle appartient l’implantation.</w:t>
      </w:r>
    </w:p>
    <w:p>
      <w:pPr>
        <w:pStyle w:val="Default"/>
        <w:keepNext/>
        <w:widowControl w:val="0"/>
        <w:jc w:val="both"/>
        <w:rPr>
          <w:rFonts w:asciiTheme="minorHAnsi" w:hAnsiTheme="minorHAnsi" w:cstheme="minorHAnsi"/>
          <w:bCs/>
          <w:iCs/>
          <w:sz w:val="22"/>
        </w:rPr>
      </w:pPr>
      <w:r>
        <w:rPr>
          <w:rFonts w:asciiTheme="minorHAnsi" w:hAnsiTheme="minorHAnsi" w:cstheme="minorHAnsi"/>
          <w:bCs/>
          <w:iCs/>
          <w:sz w:val="22"/>
        </w:rPr>
        <w:t>Pour le calcul des périodes complémentaires, ce coefficient équivaut à :</w:t>
      </w:r>
    </w:p>
    <w:p>
      <w:pPr>
        <w:pStyle w:val="Default"/>
        <w:keepNext/>
        <w:widowControl w:val="0"/>
        <w:numPr>
          <w:ilvl w:val="0"/>
          <w:numId w:val="33"/>
        </w:numPr>
        <w:ind w:left="714" w:hanging="357"/>
        <w:jc w:val="both"/>
        <w:rPr>
          <w:rFonts w:asciiTheme="minorHAnsi" w:hAnsiTheme="minorHAnsi" w:cstheme="minorHAnsi"/>
          <w:bCs/>
          <w:iCs/>
          <w:sz w:val="22"/>
        </w:rPr>
      </w:pPr>
      <w:r>
        <w:rPr>
          <w:rFonts w:asciiTheme="minorHAnsi" w:hAnsiTheme="minorHAnsi" w:cstheme="minorHAnsi"/>
          <w:bCs/>
          <w:iCs/>
          <w:sz w:val="22"/>
        </w:rPr>
        <w:t>1,50 pour les implantations relevant de la classe 1 ;</w:t>
      </w:r>
    </w:p>
    <w:p>
      <w:pPr>
        <w:pStyle w:val="Default"/>
        <w:keepNext/>
        <w:widowControl w:val="0"/>
        <w:numPr>
          <w:ilvl w:val="0"/>
          <w:numId w:val="33"/>
        </w:numPr>
        <w:ind w:left="714" w:hanging="357"/>
        <w:jc w:val="both"/>
        <w:rPr>
          <w:rFonts w:asciiTheme="minorHAnsi" w:hAnsiTheme="minorHAnsi" w:cstheme="minorHAnsi"/>
          <w:bCs/>
          <w:iCs/>
          <w:sz w:val="22"/>
        </w:rPr>
      </w:pPr>
      <w:r>
        <w:rPr>
          <w:rFonts w:asciiTheme="minorHAnsi" w:hAnsiTheme="minorHAnsi" w:cstheme="minorHAnsi"/>
          <w:bCs/>
          <w:iCs/>
          <w:sz w:val="22"/>
        </w:rPr>
        <w:t>1,1101 pour les implantations relevant de la classe 2 ;</w:t>
      </w:r>
    </w:p>
    <w:p>
      <w:pPr>
        <w:pStyle w:val="Default"/>
        <w:keepNext/>
        <w:widowControl w:val="0"/>
        <w:numPr>
          <w:ilvl w:val="0"/>
          <w:numId w:val="33"/>
        </w:numPr>
        <w:ind w:left="714" w:hanging="357"/>
        <w:jc w:val="both"/>
        <w:rPr>
          <w:rFonts w:asciiTheme="minorHAnsi" w:hAnsiTheme="minorHAnsi" w:cstheme="minorHAnsi"/>
          <w:bCs/>
          <w:iCs/>
          <w:sz w:val="22"/>
        </w:rPr>
      </w:pPr>
      <w:r>
        <w:rPr>
          <w:rFonts w:asciiTheme="minorHAnsi" w:hAnsiTheme="minorHAnsi" w:cstheme="minorHAnsi"/>
          <w:bCs/>
          <w:iCs/>
          <w:sz w:val="22"/>
        </w:rPr>
        <w:t>0,9296 pour les implantations relevant de la classe 3 a ;</w:t>
      </w:r>
    </w:p>
    <w:p>
      <w:pPr>
        <w:pStyle w:val="Default"/>
        <w:keepNext/>
        <w:widowControl w:val="0"/>
        <w:numPr>
          <w:ilvl w:val="0"/>
          <w:numId w:val="33"/>
        </w:numPr>
        <w:ind w:left="714" w:hanging="357"/>
        <w:jc w:val="both"/>
        <w:rPr>
          <w:rFonts w:asciiTheme="minorHAnsi" w:hAnsiTheme="minorHAnsi" w:cstheme="minorHAnsi"/>
          <w:bCs/>
          <w:iCs/>
          <w:sz w:val="22"/>
        </w:rPr>
      </w:pPr>
      <w:r>
        <w:rPr>
          <w:rFonts w:asciiTheme="minorHAnsi" w:hAnsiTheme="minorHAnsi" w:cstheme="minorHAnsi"/>
          <w:bCs/>
          <w:iCs/>
          <w:sz w:val="22"/>
        </w:rPr>
        <w:t>0,6849 pour les implantations relevant de la classe 3 b ;</w:t>
      </w:r>
    </w:p>
    <w:p>
      <w:pPr>
        <w:pStyle w:val="Default"/>
        <w:keepNext/>
        <w:widowControl w:val="0"/>
        <w:numPr>
          <w:ilvl w:val="0"/>
          <w:numId w:val="33"/>
        </w:numPr>
        <w:ind w:left="714" w:hanging="357"/>
        <w:jc w:val="both"/>
        <w:rPr>
          <w:rFonts w:asciiTheme="minorHAnsi" w:hAnsiTheme="minorHAnsi" w:cstheme="minorHAnsi"/>
          <w:bCs/>
          <w:iCs/>
          <w:sz w:val="22"/>
        </w:rPr>
      </w:pPr>
      <w:r>
        <w:rPr>
          <w:rFonts w:asciiTheme="minorHAnsi" w:hAnsiTheme="minorHAnsi" w:cstheme="minorHAnsi"/>
          <w:bCs/>
          <w:iCs/>
          <w:sz w:val="22"/>
        </w:rPr>
        <w:t>0,5137 pour les implantations relevant de la classe 4 ;</w:t>
      </w:r>
    </w:p>
    <w:p>
      <w:pPr>
        <w:pStyle w:val="Default"/>
        <w:keepNext/>
        <w:widowControl w:val="0"/>
        <w:numPr>
          <w:ilvl w:val="0"/>
          <w:numId w:val="33"/>
        </w:numPr>
        <w:spacing w:after="120"/>
        <w:jc w:val="both"/>
        <w:rPr>
          <w:rFonts w:asciiTheme="minorHAnsi" w:hAnsiTheme="minorHAnsi" w:cstheme="minorHAnsi"/>
          <w:bCs/>
          <w:iCs/>
          <w:sz w:val="22"/>
        </w:rPr>
      </w:pPr>
      <w:r>
        <w:rPr>
          <w:rFonts w:asciiTheme="minorHAnsi" w:hAnsiTheme="minorHAnsi" w:cstheme="minorHAnsi"/>
          <w:bCs/>
          <w:iCs/>
          <w:sz w:val="22"/>
        </w:rPr>
        <w:t>0,3425 pour les implantations relevant de la classe 5.</w:t>
      </w:r>
    </w:p>
    <w:p>
      <w:pPr>
        <w:pStyle w:val="Default"/>
        <w:keepNext/>
        <w:widowControl w:val="0"/>
        <w:jc w:val="both"/>
        <w:rPr>
          <w:rFonts w:asciiTheme="minorHAnsi" w:hAnsiTheme="minorHAnsi" w:cstheme="minorHAnsi"/>
          <w:bCs/>
          <w:iCs/>
          <w:sz w:val="22"/>
        </w:rPr>
      </w:pPr>
      <w:r>
        <w:rPr>
          <w:rFonts w:asciiTheme="minorHAnsi" w:hAnsiTheme="minorHAnsi" w:cstheme="minorHAnsi"/>
          <w:bCs/>
          <w:iCs/>
          <w:sz w:val="22"/>
        </w:rPr>
        <w:t>Pour le calcul des moyens de fonctionnement complémentaires, ce coefficient est égal à :</w:t>
      </w:r>
    </w:p>
    <w:p>
      <w:pPr>
        <w:pStyle w:val="Default"/>
        <w:keepNext/>
        <w:widowControl w:val="0"/>
        <w:numPr>
          <w:ilvl w:val="0"/>
          <w:numId w:val="34"/>
        </w:numPr>
        <w:ind w:left="714" w:hanging="357"/>
        <w:jc w:val="both"/>
        <w:rPr>
          <w:rFonts w:asciiTheme="minorHAnsi" w:hAnsiTheme="minorHAnsi" w:cstheme="minorHAnsi"/>
          <w:bCs/>
          <w:iCs/>
          <w:sz w:val="22"/>
        </w:rPr>
      </w:pPr>
      <w:r>
        <w:rPr>
          <w:rFonts w:asciiTheme="minorHAnsi" w:hAnsiTheme="minorHAnsi" w:cstheme="minorHAnsi"/>
          <w:bCs/>
          <w:iCs/>
          <w:sz w:val="22"/>
        </w:rPr>
        <w:t>1,5 pour les implantations relevant de la classe 1 ;</w:t>
      </w:r>
    </w:p>
    <w:p>
      <w:pPr>
        <w:pStyle w:val="Default"/>
        <w:keepNext/>
        <w:widowControl w:val="0"/>
        <w:numPr>
          <w:ilvl w:val="0"/>
          <w:numId w:val="34"/>
        </w:numPr>
        <w:ind w:left="714" w:hanging="357"/>
        <w:jc w:val="both"/>
        <w:rPr>
          <w:rFonts w:asciiTheme="minorHAnsi" w:hAnsiTheme="minorHAnsi" w:cstheme="minorHAnsi"/>
          <w:bCs/>
          <w:iCs/>
          <w:sz w:val="22"/>
        </w:rPr>
      </w:pPr>
      <w:r>
        <w:rPr>
          <w:rFonts w:asciiTheme="minorHAnsi" w:hAnsiTheme="minorHAnsi" w:cstheme="minorHAnsi"/>
          <w:bCs/>
          <w:iCs/>
          <w:sz w:val="22"/>
        </w:rPr>
        <w:t>1,25 pour les implantations relevant de la classe 2 ;</w:t>
      </w:r>
    </w:p>
    <w:p>
      <w:pPr>
        <w:pStyle w:val="Default"/>
        <w:keepNext/>
        <w:widowControl w:val="0"/>
        <w:numPr>
          <w:ilvl w:val="0"/>
          <w:numId w:val="34"/>
        </w:numPr>
        <w:ind w:left="714" w:hanging="357"/>
        <w:jc w:val="both"/>
        <w:rPr>
          <w:rFonts w:asciiTheme="minorHAnsi" w:hAnsiTheme="minorHAnsi" w:cstheme="minorHAnsi"/>
          <w:bCs/>
          <w:iCs/>
          <w:sz w:val="22"/>
        </w:rPr>
      </w:pPr>
      <w:r>
        <w:rPr>
          <w:rFonts w:asciiTheme="minorHAnsi" w:hAnsiTheme="minorHAnsi" w:cstheme="minorHAnsi"/>
          <w:bCs/>
          <w:iCs/>
          <w:sz w:val="22"/>
        </w:rPr>
        <w:t>1,0583 pour les implantations relevant de la classe 3 a ;</w:t>
      </w:r>
    </w:p>
    <w:p>
      <w:pPr>
        <w:pStyle w:val="Default"/>
        <w:keepNext/>
        <w:widowControl w:val="0"/>
        <w:numPr>
          <w:ilvl w:val="0"/>
          <w:numId w:val="34"/>
        </w:numPr>
        <w:ind w:left="714" w:hanging="357"/>
        <w:jc w:val="both"/>
        <w:rPr>
          <w:rFonts w:asciiTheme="minorHAnsi" w:hAnsiTheme="minorHAnsi" w:cstheme="minorHAnsi"/>
          <w:bCs/>
          <w:iCs/>
          <w:sz w:val="22"/>
        </w:rPr>
      </w:pPr>
      <w:r>
        <w:rPr>
          <w:rFonts w:asciiTheme="minorHAnsi" w:hAnsiTheme="minorHAnsi" w:cstheme="minorHAnsi"/>
          <w:bCs/>
          <w:iCs/>
          <w:sz w:val="22"/>
        </w:rPr>
        <w:t>0,9736 pour les implantations relevant de la classe 3 b ;</w:t>
      </w:r>
    </w:p>
    <w:p>
      <w:pPr>
        <w:pStyle w:val="Default"/>
        <w:keepNext/>
        <w:widowControl w:val="0"/>
        <w:numPr>
          <w:ilvl w:val="0"/>
          <w:numId w:val="34"/>
        </w:numPr>
        <w:ind w:left="714" w:hanging="357"/>
        <w:jc w:val="both"/>
        <w:rPr>
          <w:rFonts w:asciiTheme="minorHAnsi" w:hAnsiTheme="minorHAnsi" w:cstheme="minorHAnsi"/>
          <w:bCs/>
          <w:iCs/>
          <w:sz w:val="22"/>
        </w:rPr>
      </w:pPr>
      <w:r>
        <w:rPr>
          <w:rFonts w:asciiTheme="minorHAnsi" w:hAnsiTheme="minorHAnsi" w:cstheme="minorHAnsi"/>
          <w:bCs/>
          <w:iCs/>
          <w:sz w:val="22"/>
        </w:rPr>
        <w:t>0,7302 pour les implantations relevant de la classe 4 ;</w:t>
      </w:r>
    </w:p>
    <w:p>
      <w:pPr>
        <w:pStyle w:val="Default"/>
        <w:keepNext/>
        <w:widowControl w:val="0"/>
        <w:numPr>
          <w:ilvl w:val="0"/>
          <w:numId w:val="34"/>
        </w:numPr>
        <w:spacing w:after="120"/>
        <w:jc w:val="both"/>
        <w:rPr>
          <w:rFonts w:asciiTheme="minorHAnsi" w:hAnsiTheme="minorHAnsi" w:cstheme="minorHAnsi"/>
          <w:bCs/>
          <w:iCs/>
          <w:sz w:val="22"/>
        </w:rPr>
      </w:pPr>
      <w:r>
        <w:rPr>
          <w:rFonts w:asciiTheme="minorHAnsi" w:hAnsiTheme="minorHAnsi" w:cstheme="minorHAnsi"/>
          <w:bCs/>
          <w:iCs/>
          <w:sz w:val="22"/>
        </w:rPr>
        <w:t>0,4868 pour les implantations relevant de la classe 5.</w:t>
      </w:r>
    </w:p>
    <w:p>
      <w:pPr>
        <w:pStyle w:val="Default"/>
        <w:spacing w:after="120"/>
        <w:jc w:val="both"/>
        <w:rPr>
          <w:rFonts w:asciiTheme="minorHAnsi" w:hAnsiTheme="minorHAnsi" w:cstheme="minorHAnsi"/>
          <w:bCs/>
          <w:iCs/>
          <w:sz w:val="22"/>
        </w:rPr>
      </w:pPr>
      <w:r>
        <w:rPr>
          <w:rFonts w:asciiTheme="minorHAnsi" w:hAnsiTheme="minorHAnsi" w:cstheme="minorHAnsi"/>
          <w:bCs/>
          <w:iCs/>
          <w:sz w:val="22"/>
        </w:rPr>
        <w:t xml:space="preserve">L’enveloppe globale disponible pour l’ensemble des implantations bénéficiaires est ensuite partagée entre l’ensemble des implantations bénéficiaires au prorata du nombre d’élèves ainsi pondéré. Le résultat obtenu détermine les </w:t>
      </w:r>
      <w:r>
        <w:rPr>
          <w:rFonts w:asciiTheme="minorHAnsi" w:hAnsiTheme="minorHAnsi" w:cstheme="minorHAnsi"/>
          <w:b/>
          <w:bCs/>
          <w:iCs/>
          <w:sz w:val="22"/>
        </w:rPr>
        <w:t>moyens théoriques de l’implantation</w:t>
      </w:r>
      <w:r>
        <w:rPr>
          <w:rFonts w:asciiTheme="minorHAnsi" w:hAnsiTheme="minorHAnsi" w:cstheme="minorHAnsi"/>
          <w:bCs/>
          <w:iCs/>
          <w:sz w:val="22"/>
        </w:rPr>
        <w:t>.</w:t>
      </w:r>
    </w:p>
    <w:p>
      <w:pPr>
        <w:pStyle w:val="Default"/>
        <w:numPr>
          <w:ilvl w:val="0"/>
          <w:numId w:val="35"/>
        </w:numPr>
        <w:spacing w:after="120"/>
        <w:jc w:val="both"/>
        <w:rPr>
          <w:rFonts w:asciiTheme="minorHAnsi" w:hAnsiTheme="minorHAnsi" w:cstheme="minorHAnsi"/>
          <w:bCs/>
          <w:iCs/>
          <w:sz w:val="22"/>
        </w:rPr>
      </w:pPr>
      <w:r>
        <w:rPr>
          <w:rFonts w:asciiTheme="minorHAnsi" w:hAnsiTheme="minorHAnsi" w:cstheme="minorHAnsi"/>
          <w:b/>
          <w:bCs/>
          <w:iCs/>
          <w:sz w:val="22"/>
          <w:u w:val="single"/>
        </w:rPr>
        <w:t>Deuxième étape</w:t>
      </w:r>
      <w:r>
        <w:rPr>
          <w:rFonts w:asciiTheme="minorHAnsi" w:hAnsiTheme="minorHAnsi" w:cstheme="minorHAnsi"/>
          <w:b/>
          <w:bCs/>
          <w:iCs/>
          <w:sz w:val="22"/>
        </w:rPr>
        <w:t> </w:t>
      </w:r>
      <w:r>
        <w:rPr>
          <w:rFonts w:asciiTheme="minorHAnsi" w:hAnsiTheme="minorHAnsi" w:cstheme="minorHAnsi"/>
          <w:bCs/>
          <w:iCs/>
          <w:sz w:val="22"/>
        </w:rPr>
        <w:t xml:space="preserve">: </w:t>
      </w:r>
    </w:p>
    <w:p>
      <w:pPr>
        <w:pStyle w:val="Default"/>
        <w:spacing w:after="120"/>
        <w:jc w:val="both"/>
        <w:rPr>
          <w:rFonts w:asciiTheme="minorHAnsi" w:hAnsiTheme="minorHAnsi" w:cstheme="minorHAnsi"/>
          <w:bCs/>
          <w:iCs/>
          <w:sz w:val="22"/>
        </w:rPr>
      </w:pPr>
      <w:r>
        <w:rPr>
          <w:rFonts w:asciiTheme="minorHAnsi" w:hAnsiTheme="minorHAnsi" w:cstheme="minorHAnsi"/>
          <w:bCs/>
          <w:iCs/>
          <w:sz w:val="22"/>
        </w:rPr>
        <w:t xml:space="preserve">Pour déterminer les </w:t>
      </w:r>
      <w:r>
        <w:rPr>
          <w:rFonts w:asciiTheme="minorHAnsi" w:hAnsiTheme="minorHAnsi" w:cstheme="minorHAnsi"/>
          <w:b/>
          <w:bCs/>
          <w:iCs/>
          <w:sz w:val="22"/>
        </w:rPr>
        <w:t>moyens réellement octroyés</w:t>
      </w:r>
      <w:r>
        <w:rPr>
          <w:rFonts w:asciiTheme="minorHAnsi" w:hAnsiTheme="minorHAnsi" w:cstheme="minorHAnsi"/>
          <w:bCs/>
          <w:iCs/>
          <w:sz w:val="22"/>
        </w:rPr>
        <w:t xml:space="preserve"> à l’implantation bénéficiaire, on calcule la </w:t>
      </w:r>
      <w:r>
        <w:rPr>
          <w:rFonts w:asciiTheme="minorHAnsi" w:hAnsiTheme="minorHAnsi" w:cstheme="minorHAnsi"/>
          <w:b/>
          <w:bCs/>
          <w:iCs/>
          <w:sz w:val="22"/>
        </w:rPr>
        <w:t>moyenne sur les 6 dernières années des moyens théoriques calculés annuellement pour l’implantation</w:t>
      </w:r>
      <w:r>
        <w:rPr>
          <w:rFonts w:asciiTheme="minorHAnsi" w:hAnsiTheme="minorHAnsi" w:cstheme="minorHAnsi"/>
          <w:bCs/>
          <w:iCs/>
          <w:sz w:val="22"/>
        </w:rPr>
        <w:t>.</w:t>
      </w:r>
    </w:p>
    <w:p>
      <w:pPr>
        <w:pStyle w:val="Default"/>
        <w:spacing w:after="120"/>
        <w:jc w:val="both"/>
        <w:rPr>
          <w:rFonts w:asciiTheme="minorHAnsi" w:hAnsiTheme="minorHAnsi" w:cstheme="minorHAnsi"/>
          <w:bCs/>
          <w:iCs/>
          <w:sz w:val="22"/>
        </w:rPr>
      </w:pPr>
      <w:r>
        <w:rPr>
          <w:rFonts w:asciiTheme="minorHAnsi" w:hAnsiTheme="minorHAnsi" w:cstheme="minorHAnsi"/>
          <w:bCs/>
          <w:iCs/>
          <w:sz w:val="22"/>
        </w:rPr>
        <w:t>Afin de respecter l’enveloppe disponible à l’ensemble des implantations bénéficiaires de l’encadrement différencié, ce nombre est multiplié par un coefficient d’ajustement</w:t>
      </w:r>
      <w:r>
        <w:rPr>
          <w:rStyle w:val="Appelnotedebasdep"/>
          <w:rFonts w:asciiTheme="minorHAnsi" w:hAnsiTheme="minorHAnsi" w:cstheme="minorHAnsi"/>
          <w:bCs/>
          <w:iCs/>
          <w:sz w:val="22"/>
        </w:rPr>
        <w:footnoteReference w:id="3"/>
      </w:r>
      <w:r>
        <w:rPr>
          <w:rFonts w:asciiTheme="minorHAnsi" w:hAnsiTheme="minorHAnsi" w:cstheme="minorHAnsi"/>
          <w:bCs/>
          <w:iCs/>
          <w:sz w:val="22"/>
        </w:rPr>
        <w:t xml:space="preserve"> et arrondi à l’unité inférieure. Le résultat ainsi obtenu détermine les moyens réels que l’implantation recevra pour l’année scolaire concernée.</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trPr>
          <w:trHeight w:val="8880"/>
        </w:trPr>
        <w:tc>
          <w:tcPr>
            <w:tcW w:w="9072" w:type="dxa"/>
          </w:tcPr>
          <w:p>
            <w:pPr>
              <w:pStyle w:val="Default"/>
              <w:keepNext/>
              <w:spacing w:before="120" w:after="120"/>
              <w:ind w:left="214"/>
              <w:jc w:val="both"/>
              <w:rPr>
                <w:rFonts w:asciiTheme="minorHAnsi" w:hAnsiTheme="minorHAnsi" w:cstheme="minorHAnsi"/>
                <w:bCs/>
                <w:iCs/>
                <w:sz w:val="22"/>
              </w:rPr>
            </w:pPr>
            <w:r>
              <w:rPr>
                <w:rFonts w:asciiTheme="minorHAnsi" w:hAnsiTheme="minorHAnsi" w:cstheme="minorHAnsi"/>
                <w:bCs/>
                <w:iCs/>
                <w:sz w:val="22"/>
                <w:u w:val="single"/>
              </w:rPr>
              <w:t>Exemple 1</w:t>
            </w:r>
            <w:r>
              <w:rPr>
                <w:rFonts w:asciiTheme="minorHAnsi" w:hAnsiTheme="minorHAnsi" w:cstheme="minorHAnsi"/>
                <w:bCs/>
                <w:iCs/>
                <w:sz w:val="22"/>
              </w:rPr>
              <w:t xml:space="preserve"> : </w:t>
            </w:r>
          </w:p>
          <w:p>
            <w:pPr>
              <w:pStyle w:val="Default"/>
              <w:keepNext/>
              <w:tabs>
                <w:tab w:val="left" w:pos="8152"/>
              </w:tabs>
              <w:spacing w:after="120"/>
              <w:ind w:left="214" w:right="213"/>
              <w:jc w:val="both"/>
              <w:rPr>
                <w:rFonts w:asciiTheme="minorHAnsi" w:hAnsiTheme="minorHAnsi" w:cstheme="minorHAnsi"/>
                <w:bCs/>
                <w:iCs/>
                <w:sz w:val="22"/>
              </w:rPr>
            </w:pPr>
            <w:r>
              <w:rPr>
                <w:rFonts w:asciiTheme="minorHAnsi" w:hAnsiTheme="minorHAnsi" w:cstheme="minorHAnsi"/>
                <w:bCs/>
                <w:iCs/>
                <w:sz w:val="22"/>
              </w:rPr>
              <w:t xml:space="preserve">Pour l’année scolaire 2018-2019, l’implantation </w:t>
            </w:r>
            <w:r>
              <w:rPr>
                <w:rFonts w:asciiTheme="minorHAnsi" w:hAnsiTheme="minorHAnsi" w:cstheme="minorHAnsi"/>
                <w:bCs/>
                <w:i/>
                <w:iCs/>
                <w:sz w:val="22"/>
              </w:rPr>
              <w:t>D</w:t>
            </w:r>
            <w:r>
              <w:rPr>
                <w:rFonts w:asciiTheme="minorHAnsi" w:hAnsiTheme="minorHAnsi" w:cstheme="minorHAnsi"/>
                <w:bCs/>
                <w:iCs/>
                <w:sz w:val="22"/>
              </w:rPr>
              <w:t xml:space="preserve"> relève de la classe 2 et compte 98 élèves au 15 janvier 2017. De plus, elle satisfait la condition 1, à savoir avoir relevé de la classe 1 à 5 au moins trois fois sur les 6 dernières années. L’implantation </w:t>
            </w:r>
            <w:r>
              <w:rPr>
                <w:rFonts w:asciiTheme="minorHAnsi" w:hAnsiTheme="minorHAnsi" w:cstheme="minorHAnsi"/>
                <w:bCs/>
                <w:i/>
                <w:iCs/>
                <w:sz w:val="22"/>
              </w:rPr>
              <w:t>D</w:t>
            </w:r>
            <w:r>
              <w:rPr>
                <w:rFonts w:asciiTheme="minorHAnsi" w:hAnsiTheme="minorHAnsi" w:cstheme="minorHAnsi"/>
                <w:bCs/>
                <w:iCs/>
                <w:sz w:val="22"/>
              </w:rPr>
              <w:t xml:space="preserve"> est donc bénéficiaire de l’encadrement différencié. Les moyens octroyés à l’implantation </w:t>
            </w:r>
            <w:r>
              <w:rPr>
                <w:rFonts w:asciiTheme="minorHAnsi" w:hAnsiTheme="minorHAnsi" w:cstheme="minorHAnsi"/>
                <w:bCs/>
                <w:i/>
                <w:iCs/>
                <w:sz w:val="22"/>
              </w:rPr>
              <w:t>D</w:t>
            </w:r>
            <w:r>
              <w:rPr>
                <w:rFonts w:asciiTheme="minorHAnsi" w:hAnsiTheme="minorHAnsi" w:cstheme="minorHAnsi"/>
                <w:bCs/>
                <w:iCs/>
                <w:sz w:val="22"/>
              </w:rPr>
              <w:t xml:space="preserve"> sont calculés de la manière suivante :</w:t>
            </w:r>
          </w:p>
          <w:p>
            <w:pPr>
              <w:pStyle w:val="Default"/>
              <w:ind w:left="593" w:hanging="379"/>
              <w:jc w:val="both"/>
              <w:rPr>
                <w:rFonts w:asciiTheme="minorHAnsi" w:hAnsiTheme="minorHAnsi" w:cstheme="minorHAnsi"/>
                <w:bCs/>
                <w:iCs/>
                <w:sz w:val="22"/>
              </w:rPr>
            </w:pPr>
            <w:r>
              <w:rPr>
                <w:rFonts w:asciiTheme="minorHAnsi" w:hAnsiTheme="minorHAnsi" w:cstheme="minorHAnsi"/>
                <w:bCs/>
                <w:iCs/>
                <w:sz w:val="22"/>
                <w:u w:val="dash"/>
              </w:rPr>
              <w:t>Première étape</w:t>
            </w:r>
            <w:r>
              <w:rPr>
                <w:rFonts w:asciiTheme="minorHAnsi" w:hAnsiTheme="minorHAnsi" w:cstheme="minorHAnsi"/>
                <w:bCs/>
                <w:iCs/>
                <w:sz w:val="22"/>
              </w:rPr>
              <w:t xml:space="preserve"> : </w:t>
            </w:r>
          </w:p>
          <w:p>
            <w:pPr>
              <w:pStyle w:val="Default"/>
              <w:ind w:left="593" w:hanging="379"/>
              <w:jc w:val="both"/>
              <w:rPr>
                <w:rFonts w:asciiTheme="minorHAnsi" w:hAnsiTheme="minorHAnsi" w:cstheme="minorHAnsi"/>
                <w:bCs/>
                <w:iCs/>
                <w:sz w:val="22"/>
              </w:rPr>
            </w:pPr>
            <w:r>
              <w:rPr>
                <w:rFonts w:asciiTheme="minorHAnsi" w:hAnsiTheme="minorHAnsi" w:cstheme="minorHAnsi"/>
                <w:bCs/>
                <w:iCs/>
                <w:sz w:val="22"/>
              </w:rPr>
              <w:t xml:space="preserve">Moyens </w:t>
            </w:r>
            <w:r>
              <w:rPr>
                <w:rFonts w:asciiTheme="minorHAnsi" w:hAnsiTheme="minorHAnsi" w:cstheme="minorHAnsi"/>
                <w:b/>
                <w:bCs/>
                <w:iCs/>
                <w:sz w:val="22"/>
              </w:rPr>
              <w:t>théoriques</w:t>
            </w:r>
            <w:r>
              <w:rPr>
                <w:rFonts w:asciiTheme="minorHAnsi" w:hAnsiTheme="minorHAnsi" w:cstheme="minorHAnsi"/>
                <w:bCs/>
                <w:iCs/>
                <w:sz w:val="22"/>
              </w:rPr>
              <w:t> 2018-2019 = (élèves x coefficient de classe) x coefficient de proportionnalité</w:t>
            </w:r>
            <w:r>
              <w:rPr>
                <w:rStyle w:val="Appelnotedebasdep"/>
                <w:rFonts w:asciiTheme="minorHAnsi" w:hAnsiTheme="minorHAnsi" w:cstheme="minorHAnsi"/>
                <w:bCs/>
                <w:iCs/>
                <w:sz w:val="22"/>
              </w:rPr>
              <w:footnoteReference w:id="4"/>
            </w:r>
            <w:r>
              <w:rPr>
                <w:rFonts w:asciiTheme="minorHAnsi" w:hAnsiTheme="minorHAnsi" w:cstheme="minorHAnsi"/>
                <w:bCs/>
                <w:iCs/>
                <w:sz w:val="22"/>
              </w:rPr>
              <w:t xml:space="preserve"> </w:t>
            </w:r>
          </w:p>
          <w:p>
            <w:pPr>
              <w:pStyle w:val="Default"/>
              <w:spacing w:after="120"/>
              <w:ind w:left="593" w:firstLine="2456"/>
              <w:jc w:val="both"/>
              <w:rPr>
                <w:rFonts w:asciiTheme="minorHAnsi" w:hAnsiTheme="minorHAnsi" w:cstheme="minorHAnsi"/>
                <w:b/>
                <w:bCs/>
                <w:iCs/>
                <w:sz w:val="22"/>
              </w:rPr>
            </w:pPr>
            <w:r>
              <w:rPr>
                <w:rFonts w:asciiTheme="minorHAnsi" w:hAnsiTheme="minorHAnsi" w:cstheme="minorHAnsi"/>
                <w:bCs/>
                <w:iCs/>
                <w:sz w:val="22"/>
              </w:rPr>
              <w:t>= (98 x 1,1101) x 0,15 = 16 périodes</w:t>
            </w:r>
          </w:p>
          <w:p>
            <w:pPr>
              <w:pStyle w:val="Default"/>
              <w:ind w:left="593" w:hanging="379"/>
              <w:jc w:val="both"/>
              <w:rPr>
                <w:rFonts w:asciiTheme="minorHAnsi" w:hAnsiTheme="minorHAnsi" w:cstheme="minorHAnsi"/>
                <w:bCs/>
                <w:iCs/>
                <w:sz w:val="22"/>
              </w:rPr>
            </w:pPr>
            <w:r>
              <w:rPr>
                <w:rFonts w:asciiTheme="minorHAnsi" w:hAnsiTheme="minorHAnsi" w:cstheme="minorHAnsi"/>
                <w:bCs/>
                <w:iCs/>
                <w:sz w:val="22"/>
                <w:u w:val="dash"/>
              </w:rPr>
              <w:t>Deuxième étape</w:t>
            </w:r>
            <w:r>
              <w:rPr>
                <w:rFonts w:asciiTheme="minorHAnsi" w:hAnsiTheme="minorHAnsi" w:cstheme="minorHAnsi"/>
                <w:bCs/>
                <w:iCs/>
                <w:sz w:val="22"/>
              </w:rPr>
              <w:t> :</w:t>
            </w:r>
          </w:p>
          <w:tbl>
            <w:tblPr>
              <w:tblStyle w:val="Tableausimple51"/>
              <w:tblW w:w="8294" w:type="dxa"/>
              <w:tblInd w:w="214" w:type="dxa"/>
              <w:tblLayout w:type="fixed"/>
              <w:tblLook w:val="04A0" w:firstRow="1" w:lastRow="0" w:firstColumn="1" w:lastColumn="0" w:noHBand="0" w:noVBand="1"/>
            </w:tblPr>
            <w:tblGrid>
              <w:gridCol w:w="1997"/>
              <w:gridCol w:w="1049"/>
              <w:gridCol w:w="1050"/>
              <w:gridCol w:w="1049"/>
              <w:gridCol w:w="1050"/>
              <w:gridCol w:w="1049"/>
              <w:gridCol w:w="1050"/>
            </w:tblGrid>
            <w:tr>
              <w:trPr>
                <w:cnfStyle w:val="100000000000" w:firstRow="1" w:lastRow="0" w:firstColumn="0" w:lastColumn="0" w:oddVBand="0" w:evenVBand="0" w:oddHBand="0" w:evenHBand="0" w:firstRowFirstColumn="0" w:firstRowLastColumn="0" w:lastRowFirstColumn="0" w:lastRowLastColumn="0"/>
                <w:trHeight w:val="281"/>
              </w:trPr>
              <w:tc>
                <w:tcPr>
                  <w:cnfStyle w:val="001000000100" w:firstRow="0" w:lastRow="0" w:firstColumn="1" w:lastColumn="0" w:oddVBand="0" w:evenVBand="0" w:oddHBand="0" w:evenHBand="0" w:firstRowFirstColumn="1" w:firstRowLastColumn="0" w:lastRowFirstColumn="0" w:lastRowLastColumn="0"/>
                  <w:tcW w:w="1997" w:type="dxa"/>
                  <w:tcBorders>
                    <w:right w:val="single" w:sz="4" w:space="0" w:color="auto"/>
                  </w:tcBorders>
                  <w:vAlign w:val="center"/>
                </w:tcPr>
                <w:p>
                  <w:pPr>
                    <w:pStyle w:val="Default"/>
                    <w:keepNext/>
                    <w:jc w:val="left"/>
                    <w:rPr>
                      <w:rFonts w:asciiTheme="minorHAnsi" w:hAnsiTheme="minorHAnsi" w:cstheme="minorHAnsi"/>
                      <w:bCs/>
                      <w:iCs w:val="0"/>
                      <w:sz w:val="22"/>
                    </w:rPr>
                  </w:pPr>
                  <w:r>
                    <w:rPr>
                      <w:rFonts w:asciiTheme="minorHAnsi" w:hAnsiTheme="minorHAnsi" w:cstheme="minorHAnsi"/>
                      <w:bCs/>
                      <w:iCs w:val="0"/>
                      <w:sz w:val="22"/>
                    </w:rPr>
                    <w:t xml:space="preserve">Année scolaire </w:t>
                  </w:r>
                </w:p>
              </w:tc>
              <w:tc>
                <w:tcPr>
                  <w:tcW w:w="1049" w:type="dxa"/>
                  <w:tcBorders>
                    <w:left w:val="single" w:sz="4" w:space="0" w:color="auto"/>
                  </w:tcBorders>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sz w:val="22"/>
                    </w:rPr>
                  </w:pPr>
                  <w:r>
                    <w:rPr>
                      <w:rFonts w:asciiTheme="minorHAnsi" w:hAnsiTheme="minorHAnsi" w:cstheme="minorHAnsi"/>
                      <w:bCs/>
                      <w:iCs w:val="0"/>
                      <w:sz w:val="22"/>
                    </w:rPr>
                    <w:t>13-14</w:t>
                  </w:r>
                </w:p>
              </w:tc>
              <w:tc>
                <w:tcPr>
                  <w:tcW w:w="1050"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sz w:val="22"/>
                    </w:rPr>
                  </w:pPr>
                  <w:r>
                    <w:rPr>
                      <w:rFonts w:asciiTheme="minorHAnsi" w:hAnsiTheme="minorHAnsi" w:cstheme="minorHAnsi"/>
                      <w:bCs/>
                      <w:iCs w:val="0"/>
                      <w:sz w:val="22"/>
                    </w:rPr>
                    <w:t>14-15</w:t>
                  </w:r>
                </w:p>
              </w:tc>
              <w:tc>
                <w:tcPr>
                  <w:tcW w:w="1049"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sz w:val="22"/>
                    </w:rPr>
                  </w:pPr>
                  <w:r>
                    <w:rPr>
                      <w:rFonts w:asciiTheme="minorHAnsi" w:hAnsiTheme="minorHAnsi" w:cstheme="minorHAnsi"/>
                      <w:bCs/>
                      <w:iCs w:val="0"/>
                      <w:sz w:val="22"/>
                    </w:rPr>
                    <w:t>15-16</w:t>
                  </w:r>
                </w:p>
              </w:tc>
              <w:tc>
                <w:tcPr>
                  <w:tcW w:w="1050"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sz w:val="22"/>
                    </w:rPr>
                  </w:pPr>
                  <w:r>
                    <w:rPr>
                      <w:rFonts w:asciiTheme="minorHAnsi" w:hAnsiTheme="minorHAnsi" w:cstheme="minorHAnsi"/>
                      <w:bCs/>
                      <w:iCs w:val="0"/>
                      <w:sz w:val="22"/>
                    </w:rPr>
                    <w:t>16-17</w:t>
                  </w:r>
                </w:p>
              </w:tc>
              <w:tc>
                <w:tcPr>
                  <w:tcW w:w="1049"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sz w:val="22"/>
                    </w:rPr>
                  </w:pPr>
                  <w:r>
                    <w:rPr>
                      <w:rFonts w:asciiTheme="minorHAnsi" w:hAnsiTheme="minorHAnsi" w:cstheme="minorHAnsi"/>
                      <w:bCs/>
                      <w:iCs w:val="0"/>
                      <w:sz w:val="22"/>
                    </w:rPr>
                    <w:t>17-18</w:t>
                  </w:r>
                </w:p>
              </w:tc>
              <w:tc>
                <w:tcPr>
                  <w:tcW w:w="1050"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bCs/>
                      <w:i w:val="0"/>
                      <w:iCs w:val="0"/>
                      <w:sz w:val="22"/>
                    </w:rPr>
                  </w:pPr>
                  <w:r>
                    <w:rPr>
                      <w:rFonts w:asciiTheme="minorHAnsi" w:hAnsiTheme="minorHAnsi" w:cstheme="minorHAnsi"/>
                      <w:b/>
                      <w:bCs/>
                      <w:i w:val="0"/>
                      <w:iCs w:val="0"/>
                      <w:sz w:val="22"/>
                    </w:rPr>
                    <w:t>18-19</w:t>
                  </w:r>
                </w:p>
              </w:tc>
            </w:tr>
            <w:tr>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1997" w:type="dxa"/>
                  <w:tcBorders>
                    <w:right w:val="single" w:sz="4" w:space="0" w:color="auto"/>
                  </w:tcBorders>
                  <w:vAlign w:val="center"/>
                </w:tcPr>
                <w:p>
                  <w:pPr>
                    <w:pStyle w:val="Default"/>
                    <w:keepNext/>
                    <w:jc w:val="left"/>
                    <w:rPr>
                      <w:rFonts w:asciiTheme="minorHAnsi" w:hAnsiTheme="minorHAnsi" w:cstheme="minorHAnsi"/>
                      <w:bCs/>
                      <w:iCs w:val="0"/>
                      <w:sz w:val="22"/>
                    </w:rPr>
                  </w:pPr>
                  <w:r>
                    <w:rPr>
                      <w:rFonts w:asciiTheme="minorHAnsi" w:hAnsiTheme="minorHAnsi" w:cstheme="minorHAnsi"/>
                      <w:bCs/>
                      <w:iCs w:val="0"/>
                      <w:sz w:val="22"/>
                    </w:rPr>
                    <w:t>Classe ED</w:t>
                  </w:r>
                </w:p>
              </w:tc>
              <w:tc>
                <w:tcPr>
                  <w:tcW w:w="1049" w:type="dxa"/>
                  <w:tcBorders>
                    <w:left w:val="single" w:sz="4" w:space="0" w:color="auto"/>
                  </w:tcBorders>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sz w:val="22"/>
                    </w:rPr>
                  </w:pPr>
                  <w:r>
                    <w:rPr>
                      <w:rFonts w:asciiTheme="minorHAnsi" w:hAnsiTheme="minorHAnsi" w:cstheme="minorHAnsi"/>
                      <w:bCs/>
                      <w:iCs/>
                      <w:sz w:val="22"/>
                    </w:rPr>
                    <w:t>4</w:t>
                  </w:r>
                </w:p>
              </w:tc>
              <w:tc>
                <w:tcPr>
                  <w:tcW w:w="1050" w:type="dxa"/>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sz w:val="22"/>
                    </w:rPr>
                  </w:pPr>
                  <w:r>
                    <w:rPr>
                      <w:rFonts w:asciiTheme="minorHAnsi" w:hAnsiTheme="minorHAnsi" w:cstheme="minorHAnsi"/>
                      <w:bCs/>
                      <w:iCs/>
                      <w:sz w:val="22"/>
                    </w:rPr>
                    <w:t>4</w:t>
                  </w:r>
                </w:p>
              </w:tc>
              <w:tc>
                <w:tcPr>
                  <w:tcW w:w="1049" w:type="dxa"/>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sz w:val="22"/>
                    </w:rPr>
                  </w:pPr>
                  <w:r>
                    <w:rPr>
                      <w:rFonts w:asciiTheme="minorHAnsi" w:hAnsiTheme="minorHAnsi" w:cstheme="minorHAnsi"/>
                      <w:bCs/>
                      <w:iCs/>
                      <w:sz w:val="22"/>
                    </w:rPr>
                    <w:t>4</w:t>
                  </w:r>
                </w:p>
              </w:tc>
              <w:tc>
                <w:tcPr>
                  <w:tcW w:w="1050" w:type="dxa"/>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sz w:val="22"/>
                    </w:rPr>
                  </w:pPr>
                  <w:r>
                    <w:rPr>
                      <w:rFonts w:asciiTheme="minorHAnsi" w:hAnsiTheme="minorHAnsi" w:cstheme="minorHAnsi"/>
                      <w:bCs/>
                      <w:iCs/>
                      <w:sz w:val="22"/>
                    </w:rPr>
                    <w:t>4</w:t>
                  </w:r>
                </w:p>
              </w:tc>
              <w:tc>
                <w:tcPr>
                  <w:tcW w:w="1049" w:type="dxa"/>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sz w:val="22"/>
                    </w:rPr>
                  </w:pPr>
                  <w:r>
                    <w:rPr>
                      <w:rFonts w:asciiTheme="minorHAnsi" w:hAnsiTheme="minorHAnsi" w:cstheme="minorHAnsi"/>
                      <w:bCs/>
                      <w:iCs/>
                      <w:sz w:val="22"/>
                    </w:rPr>
                    <w:t>4</w:t>
                  </w:r>
                </w:p>
              </w:tc>
              <w:tc>
                <w:tcPr>
                  <w:tcW w:w="1050" w:type="dxa"/>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iCs/>
                      <w:sz w:val="22"/>
                    </w:rPr>
                  </w:pPr>
                  <w:r>
                    <w:rPr>
                      <w:rFonts w:asciiTheme="minorHAnsi" w:hAnsiTheme="minorHAnsi" w:cstheme="minorHAnsi"/>
                      <w:b/>
                      <w:bCs/>
                      <w:iCs/>
                      <w:sz w:val="22"/>
                    </w:rPr>
                    <w:t>2</w:t>
                  </w:r>
                </w:p>
              </w:tc>
            </w:tr>
            <w:tr>
              <w:trPr>
                <w:trHeight w:val="323"/>
              </w:trPr>
              <w:tc>
                <w:tcPr>
                  <w:cnfStyle w:val="001000000000" w:firstRow="0" w:lastRow="0" w:firstColumn="1" w:lastColumn="0" w:oddVBand="0" w:evenVBand="0" w:oddHBand="0" w:evenHBand="0" w:firstRowFirstColumn="0" w:firstRowLastColumn="0" w:lastRowFirstColumn="0" w:lastRowLastColumn="0"/>
                  <w:tcW w:w="1997" w:type="dxa"/>
                  <w:vAlign w:val="center"/>
                </w:tcPr>
                <w:p>
                  <w:pPr>
                    <w:pStyle w:val="Default"/>
                    <w:keepNext/>
                    <w:jc w:val="left"/>
                    <w:rPr>
                      <w:rFonts w:asciiTheme="minorHAnsi" w:hAnsiTheme="minorHAnsi" w:cstheme="minorHAnsi"/>
                      <w:bCs/>
                      <w:iCs w:val="0"/>
                      <w:sz w:val="22"/>
                    </w:rPr>
                  </w:pPr>
                  <w:r>
                    <w:rPr>
                      <w:rFonts w:asciiTheme="minorHAnsi" w:hAnsiTheme="minorHAnsi" w:cstheme="minorHAnsi"/>
                      <w:bCs/>
                      <w:iCs w:val="0"/>
                      <w:sz w:val="22"/>
                    </w:rPr>
                    <w:t>Moyens théoriques</w:t>
                  </w:r>
                </w:p>
              </w:tc>
              <w:tc>
                <w:tcPr>
                  <w:tcW w:w="1049" w:type="dxa"/>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15</w:t>
                  </w:r>
                </w:p>
              </w:tc>
              <w:tc>
                <w:tcPr>
                  <w:tcW w:w="1050" w:type="dxa"/>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15</w:t>
                  </w:r>
                </w:p>
              </w:tc>
              <w:tc>
                <w:tcPr>
                  <w:tcW w:w="1049" w:type="dxa"/>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15</w:t>
                  </w:r>
                </w:p>
              </w:tc>
              <w:tc>
                <w:tcPr>
                  <w:tcW w:w="1050" w:type="dxa"/>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15</w:t>
                  </w:r>
                </w:p>
              </w:tc>
              <w:tc>
                <w:tcPr>
                  <w:tcW w:w="1049" w:type="dxa"/>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15</w:t>
                  </w:r>
                </w:p>
              </w:tc>
              <w:tc>
                <w:tcPr>
                  <w:tcW w:w="1050" w:type="dxa"/>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iCs/>
                      <w:color w:val="auto"/>
                      <w:sz w:val="22"/>
                    </w:rPr>
                  </w:pPr>
                  <w:r>
                    <w:rPr>
                      <w:rFonts w:asciiTheme="minorHAnsi" w:hAnsiTheme="minorHAnsi" w:cstheme="minorHAnsi"/>
                      <w:b/>
                      <w:bCs/>
                      <w:iCs/>
                      <w:color w:val="auto"/>
                      <w:sz w:val="22"/>
                    </w:rPr>
                    <w:t>16</w:t>
                  </w:r>
                </w:p>
              </w:tc>
            </w:tr>
          </w:tbl>
          <w:p>
            <w:pPr>
              <w:pStyle w:val="Default"/>
              <w:spacing w:before="120"/>
              <w:ind w:firstLine="214"/>
              <w:jc w:val="both"/>
              <w:rPr>
                <w:rFonts w:asciiTheme="minorHAnsi" w:hAnsiTheme="minorHAnsi" w:cstheme="minorHAnsi"/>
                <w:b/>
                <w:bCs/>
                <w:iCs/>
                <w:sz w:val="22"/>
              </w:rPr>
            </w:pPr>
            <w:r>
              <w:rPr>
                <w:rFonts w:asciiTheme="minorHAnsi" w:hAnsiTheme="minorHAnsi" w:cstheme="minorHAnsi"/>
                <w:b/>
                <w:bCs/>
                <w:iCs/>
                <w:sz w:val="22"/>
              </w:rPr>
              <w:t>Moyens octroyés 18-19 = Moyenne (Moyens théoriques 13-14 à 18-19) x coef. ajustement</w:t>
            </w:r>
            <w:r>
              <w:rPr>
                <w:rStyle w:val="Appelnotedebasdep"/>
                <w:rFonts w:asciiTheme="minorHAnsi" w:hAnsiTheme="minorHAnsi" w:cstheme="minorHAnsi"/>
                <w:b/>
                <w:bCs/>
                <w:iCs/>
                <w:sz w:val="22"/>
              </w:rPr>
              <w:footnoteReference w:id="5"/>
            </w:r>
          </w:p>
          <w:p>
            <w:pPr>
              <w:pStyle w:val="Default"/>
              <w:spacing w:before="120" w:after="120"/>
              <w:ind w:left="595" w:firstLine="1746"/>
              <w:jc w:val="both"/>
              <w:rPr>
                <w:rFonts w:asciiTheme="minorHAnsi" w:hAnsiTheme="minorHAnsi" w:cstheme="minorHAnsi"/>
                <w:b/>
                <w:bCs/>
                <w:iCs/>
                <w:sz w:val="22"/>
              </w:rPr>
            </w:pPr>
            <w:r>
              <w:rPr>
                <w:rFonts w:asciiTheme="minorHAnsi" w:hAnsiTheme="minorHAnsi" w:cstheme="minorHAnsi"/>
                <w:b/>
                <w:bCs/>
                <w:iCs/>
                <w:sz w:val="22"/>
              </w:rPr>
              <w:t xml:space="preserve"> = </w:t>
            </w:r>
            <m:oMath>
              <m:f>
                <m:fPr>
                  <m:ctrlPr>
                    <w:rPr>
                      <w:rFonts w:ascii="Cambria Math" w:hAnsi="Cambria Math" w:cstheme="minorHAnsi"/>
                      <w:b/>
                      <w:bCs/>
                      <w:iCs/>
                      <w:sz w:val="22"/>
                    </w:rPr>
                  </m:ctrlPr>
                </m:fPr>
                <m:num>
                  <m:r>
                    <m:rPr>
                      <m:sty m:val="b"/>
                    </m:rPr>
                    <w:rPr>
                      <w:rFonts w:ascii="Cambria Math" w:hAnsi="Cambria Math" w:cstheme="minorHAnsi"/>
                      <w:sz w:val="22"/>
                    </w:rPr>
                    <m:t>(15+15+15+15+15+16)</m:t>
                  </m:r>
                </m:num>
                <m:den>
                  <m:r>
                    <m:rPr>
                      <m:sty m:val="b"/>
                    </m:rPr>
                    <w:rPr>
                      <w:rFonts w:ascii="Cambria Math" w:hAnsi="Cambria Math" w:cstheme="minorHAnsi"/>
                      <w:sz w:val="22"/>
                    </w:rPr>
                    <m:t>6</m:t>
                  </m:r>
                </m:den>
              </m:f>
            </m:oMath>
            <w:r>
              <w:rPr>
                <w:rFonts w:asciiTheme="minorHAnsi" w:hAnsiTheme="minorHAnsi" w:cstheme="minorHAnsi"/>
                <w:b/>
                <w:bCs/>
                <w:iCs/>
                <w:sz w:val="22"/>
              </w:rPr>
              <w:t xml:space="preserve"> x 0,95</w:t>
            </w:r>
            <w:r>
              <w:rPr>
                <w:rStyle w:val="Appelnotedebasdep"/>
                <w:rFonts w:asciiTheme="minorHAnsi" w:hAnsiTheme="minorHAnsi" w:cstheme="minorHAnsi"/>
                <w:b/>
                <w:bCs/>
                <w:iCs/>
                <w:sz w:val="22"/>
              </w:rPr>
              <w:footnoteReference w:id="6"/>
            </w:r>
            <w:r>
              <w:rPr>
                <w:rFonts w:asciiTheme="minorHAnsi" w:hAnsiTheme="minorHAnsi" w:cstheme="minorHAnsi"/>
                <w:b/>
                <w:bCs/>
                <w:iCs/>
                <w:sz w:val="22"/>
              </w:rPr>
              <w:t xml:space="preserve"> = 14 périodes </w:t>
            </w:r>
            <w:r>
              <w:rPr>
                <w:rFonts w:asciiTheme="minorHAnsi" w:hAnsiTheme="minorHAnsi" w:cstheme="minorHAnsi"/>
                <w:bCs/>
                <w:iCs/>
                <w:sz w:val="22"/>
              </w:rPr>
              <w:t>(arrondi à l’unité inférieure)</w:t>
            </w:r>
          </w:p>
          <w:p>
            <w:pPr>
              <w:pStyle w:val="Default"/>
              <w:spacing w:after="120"/>
              <w:ind w:left="593" w:hanging="379"/>
              <w:jc w:val="both"/>
              <w:rPr>
                <w:rFonts w:asciiTheme="minorHAnsi" w:hAnsiTheme="minorHAnsi" w:cstheme="minorHAnsi"/>
                <w:bCs/>
                <w:iCs/>
                <w:sz w:val="22"/>
                <w:u w:val="single"/>
              </w:rPr>
            </w:pPr>
            <w:r>
              <w:rPr>
                <w:rFonts w:asciiTheme="minorHAnsi" w:hAnsiTheme="minorHAnsi" w:cstheme="minorHAnsi"/>
                <w:bCs/>
                <w:iCs/>
                <w:sz w:val="22"/>
                <w:u w:val="single"/>
              </w:rPr>
              <w:t>Exemple 2 :</w:t>
            </w:r>
          </w:p>
          <w:p>
            <w:pPr>
              <w:pStyle w:val="Default"/>
              <w:spacing w:after="120"/>
              <w:ind w:left="214" w:right="213"/>
              <w:jc w:val="both"/>
              <w:rPr>
                <w:rFonts w:asciiTheme="minorHAnsi" w:hAnsiTheme="minorHAnsi" w:cstheme="minorHAnsi"/>
                <w:bCs/>
                <w:iCs/>
                <w:sz w:val="22"/>
              </w:rPr>
            </w:pPr>
            <w:r>
              <w:rPr>
                <w:rFonts w:asciiTheme="minorHAnsi" w:hAnsiTheme="minorHAnsi" w:cstheme="minorHAnsi"/>
                <w:bCs/>
                <w:iCs/>
                <w:sz w:val="22"/>
              </w:rPr>
              <w:t xml:space="preserve">Pour l’année scolaire 2019-2020, l’implantation </w:t>
            </w:r>
            <w:r>
              <w:rPr>
                <w:rFonts w:asciiTheme="minorHAnsi" w:hAnsiTheme="minorHAnsi" w:cstheme="minorHAnsi"/>
                <w:bCs/>
                <w:i/>
                <w:iCs/>
                <w:sz w:val="22"/>
              </w:rPr>
              <w:t>E</w:t>
            </w:r>
            <w:r>
              <w:rPr>
                <w:rFonts w:asciiTheme="minorHAnsi" w:hAnsiTheme="minorHAnsi" w:cstheme="minorHAnsi"/>
                <w:bCs/>
                <w:iCs/>
                <w:sz w:val="22"/>
              </w:rPr>
              <w:t xml:space="preserve"> relève de la classe 7 et compte 120 élèves au 15 janvier 2018. De plus, elle satisfait la condition 1, à savoir avoir relevé de la classe 1 à 5 au moins trois fois sur les 6 dernières années. L’implantation </w:t>
            </w:r>
            <w:r>
              <w:rPr>
                <w:rFonts w:asciiTheme="minorHAnsi" w:hAnsiTheme="minorHAnsi" w:cstheme="minorHAnsi"/>
                <w:bCs/>
                <w:i/>
                <w:iCs/>
                <w:sz w:val="22"/>
              </w:rPr>
              <w:t>E</w:t>
            </w:r>
            <w:r>
              <w:rPr>
                <w:rFonts w:asciiTheme="minorHAnsi" w:hAnsiTheme="minorHAnsi" w:cstheme="minorHAnsi"/>
                <w:bCs/>
                <w:iCs/>
                <w:sz w:val="22"/>
              </w:rPr>
              <w:t xml:space="preserve"> est donc bénéficiaire de l’encadrement différencié. Les moyens octroyés à l’implantation </w:t>
            </w:r>
            <w:r>
              <w:rPr>
                <w:rFonts w:asciiTheme="minorHAnsi" w:hAnsiTheme="minorHAnsi" w:cstheme="minorHAnsi"/>
                <w:bCs/>
                <w:i/>
                <w:iCs/>
                <w:sz w:val="22"/>
              </w:rPr>
              <w:t xml:space="preserve">E </w:t>
            </w:r>
            <w:r>
              <w:rPr>
                <w:rFonts w:asciiTheme="minorHAnsi" w:hAnsiTheme="minorHAnsi" w:cstheme="minorHAnsi"/>
                <w:bCs/>
                <w:iCs/>
                <w:sz w:val="22"/>
              </w:rPr>
              <w:t>sont calculés de la manière suivante.</w:t>
            </w:r>
          </w:p>
          <w:p>
            <w:pPr>
              <w:pStyle w:val="Default"/>
              <w:spacing w:after="120"/>
              <w:ind w:left="593" w:hanging="379"/>
              <w:jc w:val="both"/>
              <w:rPr>
                <w:rFonts w:asciiTheme="minorHAnsi" w:hAnsiTheme="minorHAnsi" w:cstheme="minorHAnsi"/>
                <w:bCs/>
                <w:iCs/>
                <w:sz w:val="22"/>
              </w:rPr>
            </w:pPr>
            <w:r>
              <w:rPr>
                <w:rFonts w:asciiTheme="minorHAnsi" w:hAnsiTheme="minorHAnsi" w:cstheme="minorHAnsi"/>
                <w:bCs/>
                <w:iCs/>
                <w:sz w:val="22"/>
                <w:u w:val="dash"/>
              </w:rPr>
              <w:t>Première étape</w:t>
            </w:r>
            <w:r>
              <w:rPr>
                <w:rFonts w:asciiTheme="minorHAnsi" w:hAnsiTheme="minorHAnsi" w:cstheme="minorHAnsi"/>
                <w:bCs/>
                <w:iCs/>
                <w:sz w:val="22"/>
              </w:rPr>
              <w:t xml:space="preserve"> : Moyens </w:t>
            </w:r>
            <w:r>
              <w:rPr>
                <w:rFonts w:asciiTheme="minorHAnsi" w:hAnsiTheme="minorHAnsi" w:cstheme="minorHAnsi"/>
                <w:b/>
                <w:bCs/>
                <w:iCs/>
                <w:sz w:val="22"/>
              </w:rPr>
              <w:t>théoriques</w:t>
            </w:r>
            <w:r>
              <w:rPr>
                <w:rFonts w:asciiTheme="minorHAnsi" w:hAnsiTheme="minorHAnsi" w:cstheme="minorHAnsi"/>
                <w:bCs/>
                <w:iCs/>
                <w:sz w:val="22"/>
              </w:rPr>
              <w:t xml:space="preserve"> 2019-2020 = </w:t>
            </w:r>
            <w:r>
              <w:rPr>
                <w:rFonts w:asciiTheme="minorHAnsi" w:hAnsiTheme="minorHAnsi" w:cstheme="minorHAnsi"/>
                <w:b/>
                <w:bCs/>
                <w:iCs/>
                <w:sz w:val="22"/>
              </w:rPr>
              <w:t>0 période</w:t>
            </w:r>
            <w:r>
              <w:rPr>
                <w:rFonts w:asciiTheme="minorHAnsi" w:hAnsiTheme="minorHAnsi" w:cstheme="minorHAnsi"/>
                <w:bCs/>
                <w:iCs/>
                <w:sz w:val="22"/>
              </w:rPr>
              <w:t>, car relève de la classe 7.</w:t>
            </w:r>
          </w:p>
          <w:p>
            <w:pPr>
              <w:pStyle w:val="Default"/>
              <w:ind w:left="593" w:hanging="379"/>
              <w:jc w:val="both"/>
              <w:rPr>
                <w:rFonts w:asciiTheme="minorHAnsi" w:hAnsiTheme="minorHAnsi" w:cstheme="minorHAnsi"/>
                <w:bCs/>
                <w:iCs/>
                <w:sz w:val="22"/>
              </w:rPr>
            </w:pPr>
            <w:r>
              <w:rPr>
                <w:rFonts w:asciiTheme="minorHAnsi" w:hAnsiTheme="minorHAnsi" w:cstheme="minorHAnsi"/>
                <w:bCs/>
                <w:iCs/>
                <w:sz w:val="22"/>
                <w:u w:val="dash"/>
              </w:rPr>
              <w:t>Deuxième étape</w:t>
            </w:r>
            <w:r>
              <w:rPr>
                <w:rFonts w:asciiTheme="minorHAnsi" w:hAnsiTheme="minorHAnsi" w:cstheme="minorHAnsi"/>
                <w:bCs/>
                <w:iCs/>
                <w:sz w:val="22"/>
              </w:rPr>
              <w:t> :</w:t>
            </w:r>
          </w:p>
          <w:tbl>
            <w:tblPr>
              <w:tblStyle w:val="Tableausimple51"/>
              <w:tblW w:w="8505" w:type="dxa"/>
              <w:tblInd w:w="214" w:type="dxa"/>
              <w:tblLayout w:type="fixed"/>
              <w:tblLook w:val="04A0" w:firstRow="1" w:lastRow="0" w:firstColumn="1" w:lastColumn="0" w:noHBand="0" w:noVBand="1"/>
            </w:tblPr>
            <w:tblGrid>
              <w:gridCol w:w="2126"/>
              <w:gridCol w:w="1063"/>
              <w:gridCol w:w="1063"/>
              <w:gridCol w:w="1063"/>
              <w:gridCol w:w="1063"/>
              <w:gridCol w:w="1063"/>
              <w:gridCol w:w="1064"/>
            </w:tblGrid>
            <w:tr>
              <w:trPr>
                <w:cnfStyle w:val="100000000000" w:firstRow="1" w:lastRow="0" w:firstColumn="0" w:lastColumn="0" w:oddVBand="0" w:evenVBand="0" w:oddHBand="0" w:evenHBand="0" w:firstRowFirstColumn="0" w:firstRowLastColumn="0" w:lastRowFirstColumn="0" w:lastRowLastColumn="0"/>
                <w:trHeight w:val="281"/>
              </w:trPr>
              <w:tc>
                <w:tcPr>
                  <w:cnfStyle w:val="001000000100" w:firstRow="0" w:lastRow="0" w:firstColumn="1" w:lastColumn="0" w:oddVBand="0" w:evenVBand="0" w:oddHBand="0" w:evenHBand="0" w:firstRowFirstColumn="1" w:firstRowLastColumn="0" w:lastRowFirstColumn="0" w:lastRowLastColumn="0"/>
                  <w:tcW w:w="2126" w:type="dxa"/>
                  <w:tcBorders>
                    <w:right w:val="single" w:sz="4" w:space="0" w:color="auto"/>
                  </w:tcBorders>
                  <w:vAlign w:val="center"/>
                </w:tcPr>
                <w:p>
                  <w:pPr>
                    <w:pStyle w:val="Default"/>
                    <w:keepNext/>
                    <w:jc w:val="left"/>
                    <w:rPr>
                      <w:rFonts w:asciiTheme="minorHAnsi" w:hAnsiTheme="minorHAnsi" w:cstheme="minorHAnsi"/>
                      <w:bCs/>
                      <w:iCs w:val="0"/>
                      <w:sz w:val="22"/>
                    </w:rPr>
                  </w:pPr>
                  <w:r>
                    <w:rPr>
                      <w:rFonts w:asciiTheme="minorHAnsi" w:hAnsiTheme="minorHAnsi" w:cstheme="minorHAnsi"/>
                      <w:bCs/>
                      <w:iCs w:val="0"/>
                      <w:sz w:val="22"/>
                    </w:rPr>
                    <w:t xml:space="preserve">Année scolaire </w:t>
                  </w:r>
                </w:p>
              </w:tc>
              <w:tc>
                <w:tcPr>
                  <w:tcW w:w="1063" w:type="dxa"/>
                  <w:tcBorders>
                    <w:left w:val="single" w:sz="4" w:space="0" w:color="auto"/>
                  </w:tcBorders>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sz w:val="22"/>
                    </w:rPr>
                  </w:pPr>
                  <w:r>
                    <w:rPr>
                      <w:rFonts w:asciiTheme="minorHAnsi" w:hAnsiTheme="minorHAnsi" w:cstheme="minorHAnsi"/>
                      <w:bCs/>
                      <w:iCs w:val="0"/>
                      <w:sz w:val="22"/>
                    </w:rPr>
                    <w:t>14-15</w:t>
                  </w:r>
                </w:p>
              </w:tc>
              <w:tc>
                <w:tcPr>
                  <w:tcW w:w="1063"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sz w:val="22"/>
                    </w:rPr>
                  </w:pPr>
                  <w:r>
                    <w:rPr>
                      <w:rFonts w:asciiTheme="minorHAnsi" w:hAnsiTheme="minorHAnsi" w:cstheme="minorHAnsi"/>
                      <w:bCs/>
                      <w:iCs w:val="0"/>
                      <w:sz w:val="22"/>
                    </w:rPr>
                    <w:t>15-16</w:t>
                  </w:r>
                </w:p>
              </w:tc>
              <w:tc>
                <w:tcPr>
                  <w:tcW w:w="1063"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sz w:val="22"/>
                    </w:rPr>
                  </w:pPr>
                  <w:r>
                    <w:rPr>
                      <w:rFonts w:asciiTheme="minorHAnsi" w:hAnsiTheme="minorHAnsi" w:cstheme="minorHAnsi"/>
                      <w:bCs/>
                      <w:iCs w:val="0"/>
                      <w:sz w:val="22"/>
                    </w:rPr>
                    <w:t>16-17</w:t>
                  </w:r>
                </w:p>
              </w:tc>
              <w:tc>
                <w:tcPr>
                  <w:tcW w:w="1063"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sz w:val="22"/>
                    </w:rPr>
                  </w:pPr>
                  <w:r>
                    <w:rPr>
                      <w:rFonts w:asciiTheme="minorHAnsi" w:hAnsiTheme="minorHAnsi" w:cstheme="minorHAnsi"/>
                      <w:bCs/>
                      <w:iCs w:val="0"/>
                      <w:sz w:val="22"/>
                    </w:rPr>
                    <w:t>17-18</w:t>
                  </w:r>
                </w:p>
              </w:tc>
              <w:tc>
                <w:tcPr>
                  <w:tcW w:w="1063"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sz w:val="22"/>
                    </w:rPr>
                  </w:pPr>
                  <w:r>
                    <w:rPr>
                      <w:rFonts w:asciiTheme="minorHAnsi" w:hAnsiTheme="minorHAnsi" w:cstheme="minorHAnsi"/>
                      <w:bCs/>
                      <w:iCs w:val="0"/>
                      <w:sz w:val="22"/>
                    </w:rPr>
                    <w:t>18-19</w:t>
                  </w:r>
                </w:p>
              </w:tc>
              <w:tc>
                <w:tcPr>
                  <w:tcW w:w="1064" w:type="dxa"/>
                  <w:vAlign w:val="center"/>
                </w:tcPr>
                <w:p>
                  <w:pPr>
                    <w:pStyle w:val="Default"/>
                    <w:keepNex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bCs/>
                      <w:i w:val="0"/>
                      <w:iCs w:val="0"/>
                      <w:sz w:val="22"/>
                    </w:rPr>
                  </w:pPr>
                  <w:r>
                    <w:rPr>
                      <w:rFonts w:asciiTheme="minorHAnsi" w:hAnsiTheme="minorHAnsi" w:cstheme="minorHAnsi"/>
                      <w:b/>
                      <w:bCs/>
                      <w:i w:val="0"/>
                      <w:iCs w:val="0"/>
                      <w:sz w:val="22"/>
                    </w:rPr>
                    <w:t>19-20</w:t>
                  </w:r>
                </w:p>
              </w:tc>
            </w:tr>
            <w:tr>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126" w:type="dxa"/>
                  <w:vAlign w:val="center"/>
                </w:tcPr>
                <w:p>
                  <w:pPr>
                    <w:pStyle w:val="Default"/>
                    <w:keepNext/>
                    <w:jc w:val="left"/>
                    <w:rPr>
                      <w:rFonts w:asciiTheme="minorHAnsi" w:hAnsiTheme="minorHAnsi" w:cstheme="minorHAnsi"/>
                      <w:bCs/>
                      <w:iCs w:val="0"/>
                      <w:sz w:val="22"/>
                    </w:rPr>
                  </w:pPr>
                  <w:r>
                    <w:rPr>
                      <w:rFonts w:asciiTheme="minorHAnsi" w:hAnsiTheme="minorHAnsi" w:cstheme="minorHAnsi"/>
                      <w:bCs/>
                      <w:iCs w:val="0"/>
                      <w:sz w:val="22"/>
                    </w:rPr>
                    <w:t>Classe ED</w:t>
                  </w:r>
                </w:p>
              </w:tc>
              <w:tc>
                <w:tcPr>
                  <w:tcW w:w="1063" w:type="dxa"/>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4</w:t>
                  </w:r>
                </w:p>
              </w:tc>
              <w:tc>
                <w:tcPr>
                  <w:tcW w:w="1063" w:type="dxa"/>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4</w:t>
                  </w:r>
                </w:p>
              </w:tc>
              <w:tc>
                <w:tcPr>
                  <w:tcW w:w="1063" w:type="dxa"/>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5</w:t>
                  </w:r>
                </w:p>
              </w:tc>
              <w:tc>
                <w:tcPr>
                  <w:tcW w:w="1063" w:type="dxa"/>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5</w:t>
                  </w:r>
                </w:p>
              </w:tc>
              <w:tc>
                <w:tcPr>
                  <w:tcW w:w="1063" w:type="dxa"/>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6</w:t>
                  </w:r>
                </w:p>
              </w:tc>
              <w:tc>
                <w:tcPr>
                  <w:tcW w:w="1064" w:type="dxa"/>
                  <w:vAlign w:val="center"/>
                </w:tcPr>
                <w:p>
                  <w:pPr>
                    <w:pStyle w:val="Default"/>
                    <w:keepNext/>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iCs/>
                      <w:color w:val="auto"/>
                      <w:sz w:val="22"/>
                    </w:rPr>
                  </w:pPr>
                  <w:r>
                    <w:rPr>
                      <w:rFonts w:asciiTheme="minorHAnsi" w:hAnsiTheme="minorHAnsi" w:cstheme="minorHAnsi"/>
                      <w:b/>
                      <w:bCs/>
                      <w:iCs/>
                      <w:color w:val="auto"/>
                      <w:sz w:val="22"/>
                    </w:rPr>
                    <w:t>7</w:t>
                  </w:r>
                </w:p>
              </w:tc>
            </w:tr>
            <w:tr>
              <w:trPr>
                <w:trHeight w:val="289"/>
              </w:trPr>
              <w:tc>
                <w:tcPr>
                  <w:cnfStyle w:val="001000000000" w:firstRow="0" w:lastRow="0" w:firstColumn="1" w:lastColumn="0" w:oddVBand="0" w:evenVBand="0" w:oddHBand="0" w:evenHBand="0" w:firstRowFirstColumn="0" w:firstRowLastColumn="0" w:lastRowFirstColumn="0" w:lastRowLastColumn="0"/>
                  <w:tcW w:w="2126" w:type="dxa"/>
                  <w:vAlign w:val="center"/>
                </w:tcPr>
                <w:p>
                  <w:pPr>
                    <w:pStyle w:val="Default"/>
                    <w:keepNext/>
                    <w:jc w:val="left"/>
                    <w:rPr>
                      <w:rFonts w:asciiTheme="minorHAnsi" w:hAnsiTheme="minorHAnsi" w:cstheme="minorHAnsi"/>
                      <w:bCs/>
                      <w:iCs w:val="0"/>
                      <w:sz w:val="22"/>
                    </w:rPr>
                  </w:pPr>
                  <w:r>
                    <w:rPr>
                      <w:rFonts w:asciiTheme="minorHAnsi" w:hAnsiTheme="minorHAnsi" w:cstheme="minorHAnsi"/>
                      <w:bCs/>
                      <w:iCs w:val="0"/>
                      <w:sz w:val="22"/>
                    </w:rPr>
                    <w:t>Moyens théoriques</w:t>
                  </w:r>
                </w:p>
              </w:tc>
              <w:tc>
                <w:tcPr>
                  <w:tcW w:w="1063" w:type="dxa"/>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sz w:val="22"/>
                    </w:rPr>
                  </w:pPr>
                  <w:r>
                    <w:rPr>
                      <w:rFonts w:asciiTheme="minorHAnsi" w:hAnsiTheme="minorHAnsi" w:cstheme="minorHAnsi"/>
                      <w:bCs/>
                      <w:iCs/>
                      <w:sz w:val="22"/>
                    </w:rPr>
                    <w:t>23</w:t>
                  </w:r>
                </w:p>
              </w:tc>
              <w:tc>
                <w:tcPr>
                  <w:tcW w:w="1063" w:type="dxa"/>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sz w:val="22"/>
                    </w:rPr>
                  </w:pPr>
                  <w:r>
                    <w:rPr>
                      <w:rFonts w:asciiTheme="minorHAnsi" w:hAnsiTheme="minorHAnsi" w:cstheme="minorHAnsi"/>
                      <w:bCs/>
                      <w:iCs/>
                      <w:sz w:val="22"/>
                    </w:rPr>
                    <w:t>23</w:t>
                  </w:r>
                </w:p>
              </w:tc>
              <w:tc>
                <w:tcPr>
                  <w:tcW w:w="1063" w:type="dxa"/>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sz w:val="22"/>
                    </w:rPr>
                  </w:pPr>
                  <w:r>
                    <w:rPr>
                      <w:rFonts w:asciiTheme="minorHAnsi" w:hAnsiTheme="minorHAnsi" w:cstheme="minorHAnsi"/>
                      <w:bCs/>
                      <w:iCs/>
                      <w:sz w:val="22"/>
                    </w:rPr>
                    <w:t>19</w:t>
                  </w:r>
                </w:p>
              </w:tc>
              <w:tc>
                <w:tcPr>
                  <w:tcW w:w="1063" w:type="dxa"/>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19</w:t>
                  </w:r>
                </w:p>
              </w:tc>
              <w:tc>
                <w:tcPr>
                  <w:tcW w:w="1063" w:type="dxa"/>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0</w:t>
                  </w:r>
                </w:p>
              </w:tc>
              <w:tc>
                <w:tcPr>
                  <w:tcW w:w="1064" w:type="dxa"/>
                  <w:vAlign w:val="center"/>
                </w:tcPr>
                <w:p>
                  <w:pPr>
                    <w:pStyle w:val="Default"/>
                    <w:keepN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iCs/>
                      <w:color w:val="auto"/>
                      <w:sz w:val="22"/>
                    </w:rPr>
                  </w:pPr>
                  <w:r>
                    <w:rPr>
                      <w:rFonts w:asciiTheme="minorHAnsi" w:hAnsiTheme="minorHAnsi" w:cstheme="minorHAnsi"/>
                      <w:b/>
                      <w:bCs/>
                      <w:iCs/>
                      <w:color w:val="auto"/>
                      <w:sz w:val="22"/>
                    </w:rPr>
                    <w:t>0</w:t>
                  </w:r>
                </w:p>
              </w:tc>
            </w:tr>
          </w:tbl>
          <w:p>
            <w:pPr>
              <w:pStyle w:val="Default"/>
              <w:spacing w:before="120"/>
              <w:ind w:left="214" w:right="213"/>
              <w:jc w:val="both"/>
              <w:rPr>
                <w:rFonts w:asciiTheme="minorHAnsi" w:hAnsiTheme="minorHAnsi" w:cstheme="minorHAnsi"/>
                <w:b/>
                <w:bCs/>
                <w:iCs/>
                <w:sz w:val="22"/>
              </w:rPr>
            </w:pPr>
            <w:r>
              <w:rPr>
                <w:rFonts w:asciiTheme="minorHAnsi" w:hAnsiTheme="minorHAnsi" w:cstheme="minorHAnsi"/>
                <w:b/>
                <w:bCs/>
                <w:iCs/>
                <w:sz w:val="22"/>
              </w:rPr>
              <w:t>Moyens octroyés 19-20 = Moyenne (Moyens théoriques 14-15 à 19-20) x coef. ajustement</w:t>
            </w:r>
          </w:p>
          <w:p>
            <w:pPr>
              <w:pStyle w:val="Default"/>
              <w:spacing w:before="120" w:after="120"/>
              <w:ind w:left="595" w:firstLine="1746"/>
              <w:jc w:val="both"/>
              <w:rPr>
                <w:rFonts w:asciiTheme="minorHAnsi" w:hAnsiTheme="minorHAnsi" w:cstheme="minorHAnsi"/>
                <w:bCs/>
                <w:iCs/>
                <w:sz w:val="22"/>
                <w:u w:val="single"/>
              </w:rPr>
            </w:pPr>
            <w:r>
              <w:rPr>
                <w:rFonts w:asciiTheme="minorHAnsi" w:hAnsiTheme="minorHAnsi" w:cstheme="minorHAnsi"/>
                <w:b/>
                <w:bCs/>
                <w:iCs/>
                <w:sz w:val="22"/>
              </w:rPr>
              <w:t xml:space="preserve"> = </w:t>
            </w:r>
            <m:oMath>
              <m:f>
                <m:fPr>
                  <m:ctrlPr>
                    <w:rPr>
                      <w:rFonts w:ascii="Cambria Math" w:hAnsi="Cambria Math" w:cstheme="minorHAnsi"/>
                      <w:b/>
                      <w:bCs/>
                      <w:iCs/>
                      <w:sz w:val="22"/>
                    </w:rPr>
                  </m:ctrlPr>
                </m:fPr>
                <m:num>
                  <m:r>
                    <m:rPr>
                      <m:sty m:val="b"/>
                    </m:rPr>
                    <w:rPr>
                      <w:rFonts w:ascii="Cambria Math" w:hAnsi="Cambria Math" w:cstheme="minorHAnsi"/>
                      <w:sz w:val="22"/>
                    </w:rPr>
                    <m:t>(23+23+19+19+0+0)</m:t>
                  </m:r>
                </m:num>
                <m:den>
                  <m:r>
                    <m:rPr>
                      <m:sty m:val="b"/>
                    </m:rPr>
                    <w:rPr>
                      <w:rFonts w:ascii="Cambria Math" w:hAnsi="Cambria Math" w:cstheme="minorHAnsi"/>
                      <w:sz w:val="22"/>
                    </w:rPr>
                    <m:t>6</m:t>
                  </m:r>
                </m:den>
              </m:f>
            </m:oMath>
            <w:r>
              <w:rPr>
                <w:rFonts w:asciiTheme="minorHAnsi" w:hAnsiTheme="minorHAnsi" w:cstheme="minorHAnsi"/>
                <w:b/>
                <w:bCs/>
                <w:iCs/>
                <w:sz w:val="22"/>
              </w:rPr>
              <w:t xml:space="preserve"> x 1,05 = 14 périodes</w:t>
            </w:r>
          </w:p>
        </w:tc>
      </w:tr>
    </w:tbl>
    <w:p>
      <w:pPr>
        <w:pStyle w:val="Default"/>
        <w:numPr>
          <w:ilvl w:val="1"/>
          <w:numId w:val="20"/>
        </w:numPr>
        <w:spacing w:before="360" w:after="120"/>
        <w:ind w:left="908" w:hanging="454"/>
        <w:jc w:val="both"/>
        <w:rPr>
          <w:rFonts w:asciiTheme="minorHAnsi" w:hAnsiTheme="minorHAnsi" w:cstheme="minorHAnsi"/>
          <w:b/>
          <w:bCs/>
          <w:iCs/>
          <w:u w:val="single"/>
        </w:rPr>
      </w:pPr>
      <w:r>
        <w:rPr>
          <w:rFonts w:asciiTheme="minorHAnsi" w:hAnsiTheme="minorHAnsi" w:cstheme="minorHAnsi"/>
          <w:b/>
          <w:bCs/>
          <w:iCs/>
          <w:u w:val="single"/>
        </w:rPr>
        <w:t>Cas particuliers</w:t>
      </w:r>
    </w:p>
    <w:p>
      <w:pPr>
        <w:pStyle w:val="Default"/>
        <w:numPr>
          <w:ilvl w:val="2"/>
          <w:numId w:val="20"/>
        </w:numPr>
        <w:spacing w:after="240"/>
        <w:jc w:val="both"/>
        <w:rPr>
          <w:rFonts w:asciiTheme="minorHAnsi" w:hAnsiTheme="minorHAnsi" w:cstheme="minorHAnsi"/>
          <w:b/>
          <w:bCs/>
          <w:iCs/>
          <w:u w:val="single"/>
        </w:rPr>
      </w:pPr>
      <w:r>
        <w:rPr>
          <w:rFonts w:asciiTheme="minorHAnsi" w:hAnsiTheme="minorHAnsi" w:cstheme="minorHAnsi"/>
          <w:b/>
          <w:bCs/>
          <w:iCs/>
          <w:u w:val="single"/>
        </w:rPr>
        <w:t>Implantations bénéficiaires sur base de la satisfaction de la condition 2</w:t>
      </w:r>
    </w:p>
    <w:p>
      <w:pPr>
        <w:pStyle w:val="Default"/>
        <w:spacing w:after="120"/>
        <w:jc w:val="both"/>
        <w:rPr>
          <w:rFonts w:asciiTheme="minorHAnsi" w:hAnsiTheme="minorHAnsi" w:cstheme="minorHAnsi"/>
          <w:bCs/>
          <w:iCs/>
          <w:sz w:val="22"/>
          <w:szCs w:val="22"/>
        </w:rPr>
      </w:pPr>
      <w:r>
        <w:rPr>
          <w:rFonts w:asciiTheme="minorHAnsi" w:hAnsiTheme="minorHAnsi" w:cstheme="minorHAnsi"/>
          <w:bCs/>
          <w:iCs/>
          <w:sz w:val="22"/>
          <w:szCs w:val="22"/>
        </w:rPr>
        <w:t>Pour les implantations qui</w:t>
      </w:r>
      <w:r>
        <w:rPr>
          <w:rFonts w:asciiTheme="minorHAnsi" w:hAnsiTheme="minorHAnsi" w:cstheme="minorHAnsi"/>
          <w:b/>
          <w:bCs/>
          <w:iCs/>
          <w:sz w:val="22"/>
          <w:szCs w:val="22"/>
        </w:rPr>
        <w:t>, lors de chaque classement à partir de 2017-2018, relèvent des classes numérotées de 1 à 5</w:t>
      </w:r>
      <w:r>
        <w:rPr>
          <w:rFonts w:asciiTheme="minorHAnsi" w:hAnsiTheme="minorHAnsi" w:cstheme="minorHAnsi"/>
          <w:bCs/>
          <w:iCs/>
          <w:sz w:val="22"/>
          <w:szCs w:val="22"/>
        </w:rPr>
        <w:t xml:space="preserve">, les moyens octroyés sont déterminés en calculant la </w:t>
      </w:r>
      <w:r>
        <w:rPr>
          <w:rFonts w:asciiTheme="minorHAnsi" w:hAnsiTheme="minorHAnsi" w:cstheme="minorHAnsi"/>
          <w:b/>
          <w:bCs/>
          <w:iCs/>
          <w:sz w:val="22"/>
          <w:szCs w:val="22"/>
        </w:rPr>
        <w:t>moyenne des moyens théoriques calculés pour les années durant lesquelles l’implantation a relevé des classes numérotées de 1 à 5</w:t>
      </w:r>
      <w:r>
        <w:rPr>
          <w:rFonts w:asciiTheme="minorHAnsi" w:hAnsiTheme="minorHAnsi" w:cstheme="minorHAnsi"/>
          <w:bCs/>
          <w:iCs/>
          <w:sz w:val="22"/>
          <w:szCs w:val="22"/>
        </w:rPr>
        <w:t xml:space="preserve"> et, au maximum, pour les 6 dernières années.</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trPr>
          <w:trHeight w:val="12742"/>
        </w:trPr>
        <w:tc>
          <w:tcPr>
            <w:tcW w:w="9072" w:type="dxa"/>
          </w:tcPr>
          <w:p>
            <w:pPr>
              <w:pStyle w:val="Default"/>
              <w:keepNext/>
              <w:spacing w:before="120" w:after="120"/>
              <w:ind w:left="215" w:right="215"/>
              <w:jc w:val="both"/>
              <w:rPr>
                <w:rFonts w:asciiTheme="minorHAnsi" w:hAnsiTheme="minorHAnsi" w:cstheme="minorHAnsi"/>
                <w:bCs/>
                <w:iCs/>
                <w:sz w:val="22"/>
                <w:u w:val="single"/>
              </w:rPr>
            </w:pPr>
            <w:r>
              <w:rPr>
                <w:rFonts w:asciiTheme="minorHAnsi" w:hAnsiTheme="minorHAnsi" w:cstheme="minorHAnsi"/>
                <w:bCs/>
                <w:iCs/>
                <w:sz w:val="22"/>
                <w:u w:val="single"/>
              </w:rPr>
              <w:t>Exemple 1 :</w:t>
            </w:r>
          </w:p>
          <w:p>
            <w:pPr>
              <w:pStyle w:val="Default"/>
              <w:keepNext/>
              <w:spacing w:after="120"/>
              <w:ind w:left="214" w:right="213"/>
              <w:jc w:val="both"/>
              <w:rPr>
                <w:rFonts w:asciiTheme="minorHAnsi" w:hAnsiTheme="minorHAnsi" w:cstheme="minorHAnsi"/>
                <w:bCs/>
                <w:iCs/>
                <w:sz w:val="22"/>
              </w:rPr>
            </w:pPr>
            <w:r>
              <w:rPr>
                <w:rFonts w:asciiTheme="minorHAnsi" w:hAnsiTheme="minorHAnsi" w:cstheme="minorHAnsi"/>
                <w:bCs/>
                <w:iCs/>
                <w:sz w:val="22"/>
                <w:szCs w:val="22"/>
              </w:rPr>
              <w:t xml:space="preserve">L’implantation </w:t>
            </w:r>
            <w:r>
              <w:rPr>
                <w:rFonts w:asciiTheme="minorHAnsi" w:hAnsiTheme="minorHAnsi" w:cstheme="minorHAnsi"/>
                <w:bCs/>
                <w:i/>
                <w:iCs/>
                <w:sz w:val="22"/>
                <w:szCs w:val="22"/>
              </w:rPr>
              <w:t>F</w:t>
            </w:r>
            <w:r>
              <w:rPr>
                <w:rFonts w:asciiTheme="minorHAnsi" w:hAnsiTheme="minorHAnsi" w:cstheme="minorHAnsi"/>
                <w:bCs/>
                <w:iCs/>
                <w:sz w:val="22"/>
                <w:szCs w:val="22"/>
              </w:rPr>
              <w:t xml:space="preserve"> a été créée le 1</w:t>
            </w:r>
            <w:r>
              <w:rPr>
                <w:rFonts w:asciiTheme="minorHAnsi" w:hAnsiTheme="minorHAnsi" w:cstheme="minorHAnsi"/>
                <w:bCs/>
                <w:iCs/>
                <w:sz w:val="22"/>
                <w:szCs w:val="22"/>
                <w:vertAlign w:val="superscript"/>
              </w:rPr>
              <w:t>er</w:t>
            </w:r>
            <w:r>
              <w:rPr>
                <w:rFonts w:asciiTheme="minorHAnsi" w:hAnsiTheme="minorHAnsi" w:cstheme="minorHAnsi"/>
                <w:bCs/>
                <w:iCs/>
                <w:sz w:val="22"/>
                <w:szCs w:val="22"/>
              </w:rPr>
              <w:t xml:space="preserve"> septembre 2016. Elle est par conséquent classée pour la première fois en 2018-2019. Pour </w:t>
            </w:r>
            <w:r>
              <w:rPr>
                <w:rFonts w:asciiTheme="minorHAnsi" w:hAnsiTheme="minorHAnsi" w:cstheme="minorHAnsi"/>
                <w:bCs/>
                <w:iCs/>
                <w:sz w:val="22"/>
              </w:rPr>
              <w:t xml:space="preserve">l’année scolaire 2019-2020, elle relève de la classe 3a depuis 2018-2019 et compte 68 élèves au 15/01/2018. Elle satisfait la condition 2 et est par conséquent bénéficiaire de l’encadrement différencié. Les moyens octroyés pour 2019-2020 à l’implantation </w:t>
            </w:r>
            <w:r>
              <w:rPr>
                <w:rFonts w:asciiTheme="minorHAnsi" w:hAnsiTheme="minorHAnsi" w:cstheme="minorHAnsi"/>
                <w:bCs/>
                <w:i/>
                <w:iCs/>
                <w:sz w:val="22"/>
              </w:rPr>
              <w:t>F</w:t>
            </w:r>
            <w:r>
              <w:rPr>
                <w:rFonts w:asciiTheme="minorHAnsi" w:hAnsiTheme="minorHAnsi" w:cstheme="minorHAnsi"/>
                <w:bCs/>
                <w:iCs/>
                <w:sz w:val="22"/>
              </w:rPr>
              <w:t xml:space="preserve"> sont calculés de la manière suivante :</w:t>
            </w:r>
          </w:p>
          <w:p>
            <w:pPr>
              <w:pStyle w:val="Default"/>
              <w:ind w:left="214" w:right="213"/>
              <w:jc w:val="both"/>
              <w:rPr>
                <w:rFonts w:asciiTheme="minorHAnsi" w:hAnsiTheme="minorHAnsi" w:cstheme="minorHAnsi"/>
                <w:bCs/>
                <w:iCs/>
                <w:sz w:val="22"/>
              </w:rPr>
            </w:pPr>
            <w:r>
              <w:rPr>
                <w:rFonts w:asciiTheme="minorHAnsi" w:hAnsiTheme="minorHAnsi" w:cstheme="minorHAnsi"/>
                <w:bCs/>
                <w:iCs/>
                <w:sz w:val="22"/>
                <w:u w:val="dash"/>
              </w:rPr>
              <w:t>Première étape</w:t>
            </w:r>
            <w:r>
              <w:rPr>
                <w:rFonts w:asciiTheme="minorHAnsi" w:hAnsiTheme="minorHAnsi" w:cstheme="minorHAnsi"/>
                <w:bCs/>
                <w:iCs/>
                <w:sz w:val="22"/>
              </w:rPr>
              <w:t xml:space="preserve"> : </w:t>
            </w:r>
          </w:p>
          <w:p>
            <w:pPr>
              <w:pStyle w:val="Default"/>
              <w:ind w:firstLine="214"/>
              <w:jc w:val="both"/>
              <w:rPr>
                <w:rFonts w:asciiTheme="minorHAnsi" w:hAnsiTheme="minorHAnsi" w:cstheme="minorHAnsi"/>
                <w:bCs/>
                <w:iCs/>
                <w:sz w:val="22"/>
              </w:rPr>
            </w:pPr>
            <w:r>
              <w:rPr>
                <w:rFonts w:asciiTheme="minorHAnsi" w:hAnsiTheme="minorHAnsi" w:cstheme="minorHAnsi"/>
                <w:bCs/>
                <w:iCs/>
                <w:sz w:val="22"/>
              </w:rPr>
              <w:t xml:space="preserve">Moyens </w:t>
            </w:r>
            <w:r>
              <w:rPr>
                <w:rFonts w:asciiTheme="minorHAnsi" w:hAnsiTheme="minorHAnsi" w:cstheme="minorHAnsi"/>
                <w:b/>
                <w:bCs/>
                <w:iCs/>
                <w:sz w:val="22"/>
              </w:rPr>
              <w:t>théoriques</w:t>
            </w:r>
            <w:r>
              <w:rPr>
                <w:rFonts w:asciiTheme="minorHAnsi" w:hAnsiTheme="minorHAnsi" w:cstheme="minorHAnsi"/>
                <w:bCs/>
                <w:iCs/>
                <w:sz w:val="22"/>
              </w:rPr>
              <w:t xml:space="preserve"> 2019-2020 = (élèves x coef. classe) x coefficient de proportionnalité </w:t>
            </w:r>
          </w:p>
          <w:p>
            <w:pPr>
              <w:pStyle w:val="Default"/>
              <w:spacing w:after="120"/>
              <w:ind w:left="3049" w:right="213"/>
              <w:jc w:val="both"/>
              <w:rPr>
                <w:rFonts w:asciiTheme="minorHAnsi" w:hAnsiTheme="minorHAnsi" w:cstheme="minorHAnsi"/>
                <w:bCs/>
                <w:iCs/>
                <w:sz w:val="22"/>
              </w:rPr>
            </w:pPr>
            <w:r>
              <w:rPr>
                <w:rFonts w:asciiTheme="minorHAnsi" w:hAnsiTheme="minorHAnsi" w:cstheme="minorHAnsi"/>
                <w:bCs/>
                <w:iCs/>
                <w:sz w:val="22"/>
              </w:rPr>
              <w:t>= (68 x 0,9296) x 0,16 = 10 périodes</w:t>
            </w:r>
          </w:p>
          <w:p>
            <w:pPr>
              <w:pStyle w:val="Default"/>
              <w:ind w:left="214" w:right="213"/>
              <w:jc w:val="both"/>
              <w:rPr>
                <w:rFonts w:asciiTheme="minorHAnsi" w:hAnsiTheme="minorHAnsi" w:cstheme="minorHAnsi"/>
                <w:bCs/>
                <w:iCs/>
                <w:sz w:val="22"/>
              </w:rPr>
            </w:pPr>
            <w:r>
              <w:rPr>
                <w:rFonts w:asciiTheme="minorHAnsi" w:hAnsiTheme="minorHAnsi" w:cstheme="minorHAnsi"/>
                <w:bCs/>
                <w:iCs/>
                <w:sz w:val="22"/>
                <w:u w:val="dash"/>
              </w:rPr>
              <w:t>Deuxième étape</w:t>
            </w:r>
            <w:r>
              <w:rPr>
                <w:rFonts w:asciiTheme="minorHAnsi" w:hAnsiTheme="minorHAnsi" w:cstheme="minorHAnsi"/>
                <w:bCs/>
                <w:iCs/>
                <w:sz w:val="22"/>
              </w:rPr>
              <w:t> :</w:t>
            </w:r>
          </w:p>
          <w:tbl>
            <w:tblPr>
              <w:tblStyle w:val="Tableausimple51"/>
              <w:tblW w:w="8505" w:type="dxa"/>
              <w:tblInd w:w="214" w:type="dxa"/>
              <w:tblLayout w:type="fixed"/>
              <w:tblLook w:val="04A0" w:firstRow="1" w:lastRow="0" w:firstColumn="1" w:lastColumn="0" w:noHBand="0" w:noVBand="1"/>
            </w:tblPr>
            <w:tblGrid>
              <w:gridCol w:w="2268"/>
              <w:gridCol w:w="1039"/>
              <w:gridCol w:w="1040"/>
              <w:gridCol w:w="1039"/>
              <w:gridCol w:w="1040"/>
              <w:gridCol w:w="1039"/>
              <w:gridCol w:w="1040"/>
            </w:tblGrid>
            <w:tr>
              <w:trPr>
                <w:cnfStyle w:val="100000000000" w:firstRow="1" w:lastRow="0" w:firstColumn="0" w:lastColumn="0" w:oddVBand="0" w:evenVBand="0" w:oddHBand="0" w:evenHBand="0" w:firstRowFirstColumn="0" w:firstRowLastColumn="0" w:lastRowFirstColumn="0" w:lastRowLastColumn="0"/>
                <w:trHeight w:val="281"/>
              </w:trPr>
              <w:tc>
                <w:tcPr>
                  <w:cnfStyle w:val="001000000100" w:firstRow="0" w:lastRow="0" w:firstColumn="1" w:lastColumn="0" w:oddVBand="0" w:evenVBand="0" w:oddHBand="0" w:evenHBand="0" w:firstRowFirstColumn="1" w:firstRowLastColumn="0" w:lastRowFirstColumn="0" w:lastRowLastColumn="0"/>
                  <w:tcW w:w="2268" w:type="dxa"/>
                  <w:tcBorders>
                    <w:right w:val="single" w:sz="4" w:space="0" w:color="auto"/>
                  </w:tcBorders>
                  <w:vAlign w:val="center"/>
                </w:tcPr>
                <w:p>
                  <w:pPr>
                    <w:pStyle w:val="Default"/>
                    <w:keepNext/>
                    <w:ind w:right="213" w:firstLine="175"/>
                    <w:jc w:val="left"/>
                    <w:rPr>
                      <w:rFonts w:asciiTheme="minorHAnsi" w:hAnsiTheme="minorHAnsi" w:cstheme="minorHAnsi"/>
                      <w:bCs/>
                      <w:iCs w:val="0"/>
                      <w:sz w:val="22"/>
                    </w:rPr>
                  </w:pPr>
                  <w:r>
                    <w:rPr>
                      <w:rFonts w:asciiTheme="minorHAnsi" w:hAnsiTheme="minorHAnsi" w:cstheme="minorHAnsi"/>
                      <w:bCs/>
                      <w:iCs w:val="0"/>
                      <w:sz w:val="22"/>
                    </w:rPr>
                    <w:t xml:space="preserve">Année scolaire </w:t>
                  </w:r>
                </w:p>
              </w:tc>
              <w:tc>
                <w:tcPr>
                  <w:tcW w:w="1039" w:type="dxa"/>
                  <w:tcBorders>
                    <w:left w:val="single" w:sz="4" w:space="0" w:color="auto"/>
                  </w:tcBorders>
                  <w:vAlign w:val="center"/>
                </w:tcPr>
                <w:p>
                  <w:pPr>
                    <w:pStyle w:val="Default"/>
                    <w:keepNext/>
                    <w:ind w:left="214" w:right="33" w:hanging="212"/>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sz w:val="22"/>
                    </w:rPr>
                  </w:pPr>
                  <w:r>
                    <w:rPr>
                      <w:rFonts w:asciiTheme="minorHAnsi" w:hAnsiTheme="minorHAnsi" w:cstheme="minorHAnsi"/>
                      <w:bCs/>
                      <w:iCs w:val="0"/>
                      <w:sz w:val="22"/>
                    </w:rPr>
                    <w:t>14-15</w:t>
                  </w:r>
                </w:p>
              </w:tc>
              <w:tc>
                <w:tcPr>
                  <w:tcW w:w="1040" w:type="dxa"/>
                  <w:vAlign w:val="center"/>
                </w:tcPr>
                <w:p>
                  <w:pPr>
                    <w:pStyle w:val="Default"/>
                    <w:keepNext/>
                    <w:ind w:left="214" w:hanging="214"/>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sz w:val="22"/>
                    </w:rPr>
                  </w:pPr>
                  <w:r>
                    <w:rPr>
                      <w:rFonts w:asciiTheme="minorHAnsi" w:hAnsiTheme="minorHAnsi" w:cstheme="minorHAnsi"/>
                      <w:bCs/>
                      <w:iCs w:val="0"/>
                      <w:sz w:val="22"/>
                    </w:rPr>
                    <w:t>15-16</w:t>
                  </w:r>
                </w:p>
              </w:tc>
              <w:tc>
                <w:tcPr>
                  <w:tcW w:w="1039" w:type="dxa"/>
                  <w:vAlign w:val="center"/>
                </w:tcPr>
                <w:p>
                  <w:pPr>
                    <w:pStyle w:val="Default"/>
                    <w:keepNext/>
                    <w:ind w:left="214" w:right="49" w:hanging="214"/>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sz w:val="22"/>
                    </w:rPr>
                  </w:pPr>
                  <w:r>
                    <w:rPr>
                      <w:rFonts w:asciiTheme="minorHAnsi" w:hAnsiTheme="minorHAnsi" w:cstheme="minorHAnsi"/>
                      <w:bCs/>
                      <w:iCs w:val="0"/>
                      <w:sz w:val="22"/>
                    </w:rPr>
                    <w:t>16-17</w:t>
                  </w:r>
                </w:p>
              </w:tc>
              <w:tc>
                <w:tcPr>
                  <w:tcW w:w="1040" w:type="dxa"/>
                  <w:vAlign w:val="center"/>
                </w:tcPr>
                <w:p>
                  <w:pPr>
                    <w:pStyle w:val="Default"/>
                    <w:keepNext/>
                    <w:tabs>
                      <w:tab w:val="left" w:pos="302"/>
                      <w:tab w:val="left" w:pos="444"/>
                    </w:tabs>
                    <w:ind w:left="214" w:right="-145" w:hanging="214"/>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sz w:val="22"/>
                    </w:rPr>
                  </w:pPr>
                  <w:r>
                    <w:rPr>
                      <w:rFonts w:asciiTheme="minorHAnsi" w:hAnsiTheme="minorHAnsi" w:cstheme="minorHAnsi"/>
                      <w:bCs/>
                      <w:iCs w:val="0"/>
                      <w:sz w:val="22"/>
                    </w:rPr>
                    <w:t>17-18</w:t>
                  </w:r>
                </w:p>
              </w:tc>
              <w:tc>
                <w:tcPr>
                  <w:tcW w:w="1039" w:type="dxa"/>
                  <w:vAlign w:val="center"/>
                </w:tcPr>
                <w:p>
                  <w:pPr>
                    <w:pStyle w:val="Default"/>
                    <w:keepNext/>
                    <w:ind w:left="214" w:right="-56" w:hanging="285"/>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sz w:val="22"/>
                    </w:rPr>
                  </w:pPr>
                  <w:r>
                    <w:rPr>
                      <w:rFonts w:asciiTheme="minorHAnsi" w:hAnsiTheme="minorHAnsi" w:cstheme="minorHAnsi"/>
                      <w:bCs/>
                      <w:iCs w:val="0"/>
                      <w:sz w:val="22"/>
                    </w:rPr>
                    <w:t>18-19</w:t>
                  </w:r>
                </w:p>
              </w:tc>
              <w:tc>
                <w:tcPr>
                  <w:tcW w:w="1040" w:type="dxa"/>
                  <w:vAlign w:val="center"/>
                </w:tcPr>
                <w:p>
                  <w:pPr>
                    <w:pStyle w:val="Default"/>
                    <w:keepNext/>
                    <w:ind w:left="214" w:right="-108" w:hanging="374"/>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bCs/>
                      <w:i w:val="0"/>
                      <w:iCs w:val="0"/>
                      <w:sz w:val="22"/>
                    </w:rPr>
                  </w:pPr>
                  <w:r>
                    <w:rPr>
                      <w:rFonts w:asciiTheme="minorHAnsi" w:hAnsiTheme="minorHAnsi" w:cstheme="minorHAnsi"/>
                      <w:b/>
                      <w:bCs/>
                      <w:i w:val="0"/>
                      <w:iCs w:val="0"/>
                      <w:sz w:val="22"/>
                    </w:rPr>
                    <w:t>19-20</w:t>
                  </w:r>
                </w:p>
              </w:tc>
            </w:tr>
            <w:tr>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68" w:type="dxa"/>
                  <w:vAlign w:val="center"/>
                </w:tcPr>
                <w:p>
                  <w:pPr>
                    <w:pStyle w:val="Default"/>
                    <w:keepNext/>
                    <w:ind w:left="214" w:right="213" w:hanging="39"/>
                    <w:jc w:val="left"/>
                    <w:rPr>
                      <w:rFonts w:asciiTheme="minorHAnsi" w:hAnsiTheme="minorHAnsi" w:cstheme="minorHAnsi"/>
                      <w:bCs/>
                      <w:iCs w:val="0"/>
                      <w:sz w:val="22"/>
                    </w:rPr>
                  </w:pPr>
                  <w:r>
                    <w:rPr>
                      <w:rFonts w:asciiTheme="minorHAnsi" w:hAnsiTheme="minorHAnsi" w:cstheme="minorHAnsi"/>
                      <w:bCs/>
                      <w:iCs w:val="0"/>
                      <w:sz w:val="22"/>
                    </w:rPr>
                    <w:t>Classe ED</w:t>
                  </w:r>
                </w:p>
              </w:tc>
              <w:tc>
                <w:tcPr>
                  <w:tcW w:w="1039" w:type="dxa"/>
                  <w:tcBorders>
                    <w:top w:val="single" w:sz="4" w:space="0" w:color="7F7F7F" w:themeColor="text1" w:themeTint="80"/>
                    <w:tr2bl w:val="single" w:sz="4" w:space="0" w:color="auto"/>
                  </w:tcBorders>
                  <w:vAlign w:val="center"/>
                </w:tcPr>
                <w:p>
                  <w:pPr>
                    <w:pStyle w:val="Default"/>
                    <w:keepNext/>
                    <w:ind w:left="214" w:right="213"/>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C00000"/>
                      <w:sz w:val="22"/>
                    </w:rPr>
                  </w:pPr>
                </w:p>
              </w:tc>
              <w:tc>
                <w:tcPr>
                  <w:tcW w:w="1040" w:type="dxa"/>
                  <w:tcBorders>
                    <w:top w:val="single" w:sz="4" w:space="0" w:color="7F7F7F" w:themeColor="text1" w:themeTint="80"/>
                    <w:tr2bl w:val="single" w:sz="4" w:space="0" w:color="auto"/>
                  </w:tcBorders>
                  <w:vAlign w:val="center"/>
                </w:tcPr>
                <w:p>
                  <w:pPr>
                    <w:pStyle w:val="Default"/>
                    <w:keepNext/>
                    <w:ind w:left="214" w:right="213"/>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C00000"/>
                      <w:sz w:val="22"/>
                    </w:rPr>
                  </w:pPr>
                </w:p>
              </w:tc>
              <w:tc>
                <w:tcPr>
                  <w:tcW w:w="1039" w:type="dxa"/>
                  <w:tcBorders>
                    <w:top w:val="single" w:sz="4" w:space="0" w:color="7F7F7F" w:themeColor="text1" w:themeTint="80"/>
                    <w:tr2bl w:val="single" w:sz="4" w:space="0" w:color="auto"/>
                  </w:tcBorders>
                  <w:vAlign w:val="center"/>
                </w:tcPr>
                <w:p>
                  <w:pPr>
                    <w:pStyle w:val="Default"/>
                    <w:keepNext/>
                    <w:ind w:left="214" w:right="213"/>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C00000"/>
                      <w:sz w:val="22"/>
                    </w:rPr>
                  </w:pPr>
                </w:p>
              </w:tc>
              <w:tc>
                <w:tcPr>
                  <w:tcW w:w="1040" w:type="dxa"/>
                  <w:tcBorders>
                    <w:top w:val="single" w:sz="4" w:space="0" w:color="7F7F7F" w:themeColor="text1" w:themeTint="80"/>
                    <w:tr2bl w:val="single" w:sz="4" w:space="0" w:color="auto"/>
                  </w:tcBorders>
                  <w:vAlign w:val="center"/>
                </w:tcPr>
                <w:p>
                  <w:pPr>
                    <w:pStyle w:val="Default"/>
                    <w:keepNext/>
                    <w:ind w:left="214" w:right="213"/>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C00000"/>
                      <w:sz w:val="22"/>
                    </w:rPr>
                  </w:pPr>
                </w:p>
              </w:tc>
              <w:tc>
                <w:tcPr>
                  <w:tcW w:w="1039" w:type="dxa"/>
                  <w:vAlign w:val="center"/>
                </w:tcPr>
                <w:p>
                  <w:pPr>
                    <w:pStyle w:val="Default"/>
                    <w:keepNext/>
                    <w:ind w:left="214" w:right="213"/>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3a</w:t>
                  </w:r>
                </w:p>
              </w:tc>
              <w:tc>
                <w:tcPr>
                  <w:tcW w:w="1040" w:type="dxa"/>
                  <w:vAlign w:val="center"/>
                </w:tcPr>
                <w:p>
                  <w:pPr>
                    <w:pStyle w:val="Default"/>
                    <w:keepNext/>
                    <w:ind w:left="214" w:right="213"/>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iCs/>
                      <w:color w:val="auto"/>
                      <w:sz w:val="22"/>
                    </w:rPr>
                  </w:pPr>
                  <w:r>
                    <w:rPr>
                      <w:rFonts w:asciiTheme="minorHAnsi" w:hAnsiTheme="minorHAnsi" w:cstheme="minorHAnsi"/>
                      <w:b/>
                      <w:bCs/>
                      <w:iCs/>
                      <w:color w:val="auto"/>
                      <w:sz w:val="22"/>
                    </w:rPr>
                    <w:t>3a</w:t>
                  </w:r>
                </w:p>
              </w:tc>
            </w:tr>
            <w:tr>
              <w:trPr>
                <w:trHeight w:val="289"/>
              </w:trPr>
              <w:tc>
                <w:tcPr>
                  <w:cnfStyle w:val="001000000000" w:firstRow="0" w:lastRow="0" w:firstColumn="1" w:lastColumn="0" w:oddVBand="0" w:evenVBand="0" w:oddHBand="0" w:evenHBand="0" w:firstRowFirstColumn="0" w:firstRowLastColumn="0" w:lastRowFirstColumn="0" w:lastRowLastColumn="0"/>
                  <w:tcW w:w="2268" w:type="dxa"/>
                  <w:vAlign w:val="center"/>
                </w:tcPr>
                <w:p>
                  <w:pPr>
                    <w:pStyle w:val="Default"/>
                    <w:keepNext/>
                    <w:ind w:left="214" w:right="-108" w:hanging="39"/>
                    <w:jc w:val="left"/>
                    <w:rPr>
                      <w:rFonts w:asciiTheme="minorHAnsi" w:hAnsiTheme="minorHAnsi" w:cstheme="minorHAnsi"/>
                      <w:bCs/>
                      <w:iCs w:val="0"/>
                      <w:sz w:val="22"/>
                    </w:rPr>
                  </w:pPr>
                  <w:r>
                    <w:rPr>
                      <w:rFonts w:asciiTheme="minorHAnsi" w:hAnsiTheme="minorHAnsi" w:cstheme="minorHAnsi"/>
                      <w:bCs/>
                      <w:iCs w:val="0"/>
                      <w:sz w:val="22"/>
                    </w:rPr>
                    <w:t>Moyens théoriques</w:t>
                  </w:r>
                </w:p>
              </w:tc>
              <w:tc>
                <w:tcPr>
                  <w:tcW w:w="1039" w:type="dxa"/>
                  <w:tcBorders>
                    <w:tr2bl w:val="single" w:sz="4" w:space="0" w:color="auto"/>
                  </w:tcBorders>
                  <w:vAlign w:val="center"/>
                </w:tcPr>
                <w:p>
                  <w:pPr>
                    <w:pStyle w:val="Default"/>
                    <w:keepNext/>
                    <w:ind w:left="214" w:right="213"/>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sz w:val="22"/>
                    </w:rPr>
                  </w:pPr>
                </w:p>
              </w:tc>
              <w:tc>
                <w:tcPr>
                  <w:tcW w:w="1040" w:type="dxa"/>
                  <w:tcBorders>
                    <w:tr2bl w:val="single" w:sz="4" w:space="0" w:color="auto"/>
                  </w:tcBorders>
                  <w:vAlign w:val="center"/>
                </w:tcPr>
                <w:p>
                  <w:pPr>
                    <w:pStyle w:val="Default"/>
                    <w:keepNext/>
                    <w:ind w:left="214" w:right="213"/>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sz w:val="22"/>
                    </w:rPr>
                  </w:pPr>
                </w:p>
              </w:tc>
              <w:tc>
                <w:tcPr>
                  <w:tcW w:w="1039" w:type="dxa"/>
                  <w:tcBorders>
                    <w:tr2bl w:val="single" w:sz="4" w:space="0" w:color="auto"/>
                  </w:tcBorders>
                  <w:vAlign w:val="center"/>
                </w:tcPr>
                <w:p>
                  <w:pPr>
                    <w:pStyle w:val="Default"/>
                    <w:keepNext/>
                    <w:ind w:left="214" w:right="213"/>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sz w:val="22"/>
                    </w:rPr>
                  </w:pPr>
                </w:p>
              </w:tc>
              <w:tc>
                <w:tcPr>
                  <w:tcW w:w="1040" w:type="dxa"/>
                  <w:tcBorders>
                    <w:tr2bl w:val="single" w:sz="4" w:space="0" w:color="auto"/>
                  </w:tcBorders>
                  <w:vAlign w:val="center"/>
                </w:tcPr>
                <w:p>
                  <w:pPr>
                    <w:pStyle w:val="Default"/>
                    <w:keepNext/>
                    <w:ind w:left="214" w:right="213"/>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p>
              </w:tc>
              <w:tc>
                <w:tcPr>
                  <w:tcW w:w="1039" w:type="dxa"/>
                  <w:vAlign w:val="center"/>
                </w:tcPr>
                <w:p>
                  <w:pPr>
                    <w:pStyle w:val="Default"/>
                    <w:keepNext/>
                    <w:ind w:left="214" w:right="213"/>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r>
                    <w:rPr>
                      <w:rFonts w:asciiTheme="minorHAnsi" w:hAnsiTheme="minorHAnsi" w:cstheme="minorHAnsi"/>
                      <w:bCs/>
                      <w:iCs/>
                      <w:color w:val="auto"/>
                      <w:sz w:val="22"/>
                    </w:rPr>
                    <w:t>9</w:t>
                  </w:r>
                </w:p>
              </w:tc>
              <w:tc>
                <w:tcPr>
                  <w:tcW w:w="1040" w:type="dxa"/>
                  <w:vAlign w:val="center"/>
                </w:tcPr>
                <w:p>
                  <w:pPr>
                    <w:pStyle w:val="Default"/>
                    <w:keepNext/>
                    <w:ind w:left="214" w:right="213"/>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iCs/>
                      <w:color w:val="auto"/>
                      <w:sz w:val="22"/>
                    </w:rPr>
                  </w:pPr>
                  <w:r>
                    <w:rPr>
                      <w:rFonts w:asciiTheme="minorHAnsi" w:hAnsiTheme="minorHAnsi" w:cstheme="minorHAnsi"/>
                      <w:b/>
                      <w:bCs/>
                      <w:iCs/>
                      <w:color w:val="auto"/>
                      <w:sz w:val="22"/>
                    </w:rPr>
                    <w:t>10</w:t>
                  </w:r>
                </w:p>
              </w:tc>
            </w:tr>
          </w:tbl>
          <w:p>
            <w:pPr>
              <w:pStyle w:val="Default"/>
              <w:spacing w:before="120"/>
              <w:ind w:firstLine="214"/>
              <w:jc w:val="both"/>
              <w:rPr>
                <w:rFonts w:asciiTheme="minorHAnsi" w:hAnsiTheme="minorHAnsi" w:cstheme="minorHAnsi"/>
                <w:b/>
                <w:bCs/>
                <w:iCs/>
                <w:sz w:val="22"/>
              </w:rPr>
            </w:pPr>
            <w:r>
              <w:rPr>
                <w:rFonts w:asciiTheme="minorHAnsi" w:hAnsiTheme="minorHAnsi" w:cstheme="minorHAnsi"/>
                <w:b/>
                <w:bCs/>
                <w:iCs/>
                <w:sz w:val="22"/>
              </w:rPr>
              <w:t>Moyens octroyés 19-20 = Moyenne (Moyens théoriques 18-19 à 19-20) x coef. ajustement</w:t>
            </w:r>
          </w:p>
          <w:p>
            <w:pPr>
              <w:pStyle w:val="Default"/>
              <w:spacing w:after="120"/>
              <w:ind w:firstLine="2340"/>
              <w:jc w:val="both"/>
              <w:rPr>
                <w:rFonts w:asciiTheme="minorHAnsi" w:hAnsiTheme="minorHAnsi" w:cstheme="minorHAnsi"/>
                <w:bCs/>
                <w:iCs/>
                <w:sz w:val="22"/>
              </w:rPr>
            </w:pPr>
            <w:r>
              <w:rPr>
                <w:rFonts w:asciiTheme="minorHAnsi" w:hAnsiTheme="minorHAnsi" w:cstheme="minorHAnsi"/>
                <w:b/>
                <w:bCs/>
                <w:iCs/>
                <w:sz w:val="22"/>
              </w:rPr>
              <w:t xml:space="preserve"> = </w:t>
            </w:r>
            <m:oMath>
              <m:f>
                <m:fPr>
                  <m:ctrlPr>
                    <w:rPr>
                      <w:rFonts w:ascii="Cambria Math" w:hAnsi="Cambria Math" w:cstheme="minorHAnsi"/>
                      <w:b/>
                      <w:bCs/>
                      <w:iCs/>
                      <w:sz w:val="22"/>
                    </w:rPr>
                  </m:ctrlPr>
                </m:fPr>
                <m:num>
                  <m:r>
                    <m:rPr>
                      <m:sty m:val="b"/>
                    </m:rPr>
                    <w:rPr>
                      <w:rFonts w:ascii="Cambria Math" w:hAnsi="Cambria Math" w:cstheme="minorHAnsi"/>
                      <w:sz w:val="22"/>
                    </w:rPr>
                    <m:t>(9+10)</m:t>
                  </m:r>
                </m:num>
                <m:den>
                  <m:r>
                    <m:rPr>
                      <m:sty m:val="b"/>
                    </m:rPr>
                    <w:rPr>
                      <w:rFonts w:ascii="Cambria Math" w:hAnsi="Cambria Math" w:cstheme="minorHAnsi"/>
                      <w:sz w:val="22"/>
                    </w:rPr>
                    <m:t>2</m:t>
                  </m:r>
                </m:den>
              </m:f>
            </m:oMath>
            <w:r>
              <w:rPr>
                <w:rFonts w:asciiTheme="minorHAnsi" w:hAnsiTheme="minorHAnsi" w:cstheme="minorHAnsi"/>
                <w:b/>
                <w:bCs/>
                <w:iCs/>
                <w:sz w:val="22"/>
              </w:rPr>
              <w:t xml:space="preserve"> x 1,05 = 9 périodes</w:t>
            </w:r>
            <w:r>
              <w:rPr>
                <w:rFonts w:asciiTheme="minorHAnsi" w:hAnsiTheme="minorHAnsi" w:cstheme="minorHAnsi"/>
                <w:bCs/>
                <w:iCs/>
                <w:sz w:val="22"/>
              </w:rPr>
              <w:t xml:space="preserve"> (arrondi à l’unité inférieure)</w:t>
            </w:r>
          </w:p>
          <w:p>
            <w:pPr>
              <w:pStyle w:val="Default"/>
              <w:spacing w:before="240" w:after="120"/>
              <w:ind w:left="214" w:right="213"/>
              <w:jc w:val="both"/>
              <w:rPr>
                <w:rFonts w:asciiTheme="minorHAnsi" w:hAnsiTheme="minorHAnsi" w:cstheme="minorHAnsi"/>
                <w:bCs/>
                <w:iCs/>
                <w:sz w:val="22"/>
                <w:u w:val="single"/>
              </w:rPr>
            </w:pPr>
            <w:r>
              <w:rPr>
                <w:rFonts w:asciiTheme="minorHAnsi" w:hAnsiTheme="minorHAnsi" w:cstheme="minorHAnsi"/>
                <w:bCs/>
                <w:iCs/>
                <w:sz w:val="22"/>
                <w:u w:val="single"/>
              </w:rPr>
              <w:t>Exemple 2 :</w:t>
            </w:r>
          </w:p>
          <w:p>
            <w:pPr>
              <w:pStyle w:val="Default"/>
              <w:spacing w:after="120"/>
              <w:ind w:left="214" w:right="213"/>
              <w:jc w:val="both"/>
              <w:rPr>
                <w:rFonts w:asciiTheme="minorHAnsi" w:hAnsiTheme="minorHAnsi" w:cstheme="minorHAnsi"/>
                <w:bCs/>
                <w:iCs/>
                <w:sz w:val="22"/>
              </w:rPr>
            </w:pPr>
            <w:r>
              <w:rPr>
                <w:rFonts w:asciiTheme="minorHAnsi" w:hAnsiTheme="minorHAnsi" w:cstheme="minorHAnsi"/>
                <w:bCs/>
                <w:iCs/>
                <w:sz w:val="22"/>
                <w:szCs w:val="22"/>
              </w:rPr>
              <w:t xml:space="preserve">En 2016-2017, l’implantation </w:t>
            </w:r>
            <w:r>
              <w:rPr>
                <w:rFonts w:asciiTheme="minorHAnsi" w:hAnsiTheme="minorHAnsi" w:cstheme="minorHAnsi"/>
                <w:bCs/>
                <w:i/>
                <w:iCs/>
                <w:sz w:val="22"/>
                <w:szCs w:val="22"/>
              </w:rPr>
              <w:t>G</w:t>
            </w:r>
            <w:r>
              <w:rPr>
                <w:rFonts w:asciiTheme="minorHAnsi" w:hAnsiTheme="minorHAnsi" w:cstheme="minorHAnsi"/>
                <w:bCs/>
                <w:iCs/>
                <w:sz w:val="22"/>
                <w:szCs w:val="22"/>
              </w:rPr>
              <w:t xml:space="preserve"> relevait de la classe 9. Pour 2017-2018, elle relève de la classe 5 et compte 215 élèves au 15/01/2016. </w:t>
            </w:r>
            <w:r>
              <w:rPr>
                <w:rFonts w:asciiTheme="minorHAnsi" w:hAnsiTheme="minorHAnsi" w:cstheme="minorHAnsi"/>
                <w:bCs/>
                <w:iCs/>
                <w:sz w:val="22"/>
              </w:rPr>
              <w:t xml:space="preserve">Elle satisfait la condition 2 et est par conséquent bénéficiaire de l’encadrement différencié. Les moyens octroyés pour 2017-2018 à l’implantation </w:t>
            </w:r>
            <w:r>
              <w:rPr>
                <w:rFonts w:asciiTheme="minorHAnsi" w:hAnsiTheme="minorHAnsi" w:cstheme="minorHAnsi"/>
                <w:bCs/>
                <w:i/>
                <w:iCs/>
                <w:sz w:val="22"/>
              </w:rPr>
              <w:t xml:space="preserve">G </w:t>
            </w:r>
            <w:r>
              <w:rPr>
                <w:rFonts w:asciiTheme="minorHAnsi" w:hAnsiTheme="minorHAnsi" w:cstheme="minorHAnsi"/>
                <w:bCs/>
                <w:iCs/>
                <w:sz w:val="22"/>
              </w:rPr>
              <w:t>sont calculés de la manière suivante :</w:t>
            </w:r>
          </w:p>
          <w:p>
            <w:pPr>
              <w:pStyle w:val="Default"/>
              <w:ind w:left="214" w:right="213"/>
              <w:jc w:val="both"/>
              <w:rPr>
                <w:rFonts w:asciiTheme="minorHAnsi" w:hAnsiTheme="minorHAnsi" w:cstheme="minorHAnsi"/>
                <w:bCs/>
                <w:iCs/>
                <w:sz w:val="22"/>
              </w:rPr>
            </w:pPr>
            <w:r>
              <w:rPr>
                <w:rFonts w:asciiTheme="minorHAnsi" w:hAnsiTheme="minorHAnsi" w:cstheme="minorHAnsi"/>
                <w:bCs/>
                <w:iCs/>
                <w:sz w:val="22"/>
                <w:u w:val="dash"/>
              </w:rPr>
              <w:t>Première étape</w:t>
            </w:r>
            <w:r>
              <w:rPr>
                <w:rFonts w:asciiTheme="minorHAnsi" w:hAnsiTheme="minorHAnsi" w:cstheme="minorHAnsi"/>
                <w:bCs/>
                <w:iCs/>
                <w:sz w:val="22"/>
              </w:rPr>
              <w:t xml:space="preserve"> : </w:t>
            </w:r>
          </w:p>
          <w:p>
            <w:pPr>
              <w:pStyle w:val="Default"/>
              <w:ind w:firstLine="214"/>
              <w:jc w:val="both"/>
              <w:rPr>
                <w:rFonts w:asciiTheme="minorHAnsi" w:hAnsiTheme="minorHAnsi" w:cstheme="minorHAnsi"/>
                <w:bCs/>
                <w:iCs/>
                <w:sz w:val="22"/>
              </w:rPr>
            </w:pPr>
            <w:r>
              <w:rPr>
                <w:rFonts w:asciiTheme="minorHAnsi" w:hAnsiTheme="minorHAnsi" w:cstheme="minorHAnsi"/>
                <w:bCs/>
                <w:iCs/>
                <w:sz w:val="22"/>
              </w:rPr>
              <w:t xml:space="preserve">Moyens </w:t>
            </w:r>
            <w:r>
              <w:rPr>
                <w:rFonts w:asciiTheme="minorHAnsi" w:hAnsiTheme="minorHAnsi" w:cstheme="minorHAnsi"/>
                <w:b/>
                <w:bCs/>
                <w:iCs/>
                <w:sz w:val="22"/>
              </w:rPr>
              <w:t>théoriques</w:t>
            </w:r>
            <w:r>
              <w:rPr>
                <w:rFonts w:asciiTheme="minorHAnsi" w:hAnsiTheme="minorHAnsi" w:cstheme="minorHAnsi"/>
                <w:bCs/>
                <w:iCs/>
                <w:sz w:val="22"/>
              </w:rPr>
              <w:t xml:space="preserve"> 2017-2018 = (élèves x coef. classe) x coefficient proportionnalité </w:t>
            </w:r>
          </w:p>
          <w:p>
            <w:pPr>
              <w:pStyle w:val="Default"/>
              <w:spacing w:after="120"/>
              <w:ind w:left="214" w:right="213" w:firstLine="2835"/>
              <w:jc w:val="both"/>
              <w:rPr>
                <w:rFonts w:asciiTheme="minorHAnsi" w:hAnsiTheme="minorHAnsi" w:cstheme="minorHAnsi"/>
                <w:bCs/>
                <w:iCs/>
                <w:sz w:val="22"/>
              </w:rPr>
            </w:pPr>
            <w:r>
              <w:rPr>
                <w:rFonts w:asciiTheme="minorHAnsi" w:hAnsiTheme="minorHAnsi" w:cstheme="minorHAnsi"/>
                <w:bCs/>
                <w:iCs/>
                <w:sz w:val="22"/>
              </w:rPr>
              <w:t>= (215 x 0,3425) x 0,15 = 11 périodes</w:t>
            </w:r>
          </w:p>
          <w:p>
            <w:pPr>
              <w:pStyle w:val="Default"/>
              <w:keepNext/>
              <w:ind w:left="214" w:right="213"/>
              <w:jc w:val="both"/>
              <w:rPr>
                <w:rFonts w:asciiTheme="minorHAnsi" w:hAnsiTheme="minorHAnsi" w:cstheme="minorHAnsi"/>
                <w:bCs/>
                <w:iCs/>
                <w:sz w:val="22"/>
              </w:rPr>
            </w:pPr>
            <w:r>
              <w:rPr>
                <w:rFonts w:asciiTheme="minorHAnsi" w:hAnsiTheme="minorHAnsi" w:cstheme="minorHAnsi"/>
                <w:bCs/>
                <w:iCs/>
                <w:sz w:val="22"/>
                <w:u w:val="dash"/>
              </w:rPr>
              <w:t>Deuxième étape</w:t>
            </w:r>
            <w:r>
              <w:rPr>
                <w:rFonts w:asciiTheme="minorHAnsi" w:hAnsiTheme="minorHAnsi" w:cstheme="minorHAnsi"/>
                <w:bCs/>
                <w:iCs/>
                <w:sz w:val="22"/>
              </w:rPr>
              <w:t> :</w:t>
            </w:r>
          </w:p>
          <w:tbl>
            <w:tblPr>
              <w:tblStyle w:val="Tableausimple51"/>
              <w:tblW w:w="8505" w:type="dxa"/>
              <w:tblInd w:w="214" w:type="dxa"/>
              <w:tblLayout w:type="fixed"/>
              <w:tblLook w:val="04A0" w:firstRow="1" w:lastRow="0" w:firstColumn="1" w:lastColumn="0" w:noHBand="0" w:noVBand="1"/>
            </w:tblPr>
            <w:tblGrid>
              <w:gridCol w:w="2158"/>
              <w:gridCol w:w="1057"/>
              <w:gridCol w:w="1058"/>
              <w:gridCol w:w="1058"/>
              <w:gridCol w:w="1058"/>
              <w:gridCol w:w="1058"/>
              <w:gridCol w:w="1058"/>
            </w:tblGrid>
            <w:tr>
              <w:trPr>
                <w:cnfStyle w:val="100000000000" w:firstRow="1" w:lastRow="0" w:firstColumn="0" w:lastColumn="0" w:oddVBand="0" w:evenVBand="0" w:oddHBand="0" w:evenHBand="0" w:firstRowFirstColumn="0" w:firstRowLastColumn="0" w:lastRowFirstColumn="0" w:lastRowLastColumn="0"/>
                <w:trHeight w:val="281"/>
              </w:trPr>
              <w:tc>
                <w:tcPr>
                  <w:cnfStyle w:val="001000000100" w:firstRow="0" w:lastRow="0" w:firstColumn="1" w:lastColumn="0" w:oddVBand="0" w:evenVBand="0" w:oddHBand="0" w:evenHBand="0" w:firstRowFirstColumn="1" w:firstRowLastColumn="0" w:lastRowFirstColumn="0" w:lastRowLastColumn="0"/>
                  <w:tcW w:w="2158" w:type="dxa"/>
                  <w:tcBorders>
                    <w:right w:val="single" w:sz="4" w:space="0" w:color="auto"/>
                  </w:tcBorders>
                  <w:vAlign w:val="center"/>
                </w:tcPr>
                <w:p>
                  <w:pPr>
                    <w:pStyle w:val="Default"/>
                    <w:keepNext/>
                    <w:ind w:left="214" w:right="213"/>
                    <w:jc w:val="left"/>
                    <w:rPr>
                      <w:rFonts w:asciiTheme="minorHAnsi" w:hAnsiTheme="minorHAnsi" w:cstheme="minorHAnsi"/>
                      <w:bCs/>
                      <w:iCs w:val="0"/>
                      <w:sz w:val="22"/>
                    </w:rPr>
                  </w:pPr>
                  <w:r>
                    <w:rPr>
                      <w:rFonts w:asciiTheme="minorHAnsi" w:hAnsiTheme="minorHAnsi" w:cstheme="minorHAnsi"/>
                      <w:bCs/>
                      <w:iCs w:val="0"/>
                      <w:sz w:val="22"/>
                    </w:rPr>
                    <w:t xml:space="preserve">Année scolaire </w:t>
                  </w:r>
                </w:p>
              </w:tc>
              <w:tc>
                <w:tcPr>
                  <w:tcW w:w="1057" w:type="dxa"/>
                  <w:tcBorders>
                    <w:left w:val="single" w:sz="4" w:space="0" w:color="auto"/>
                  </w:tcBorders>
                  <w:vAlign w:val="center"/>
                </w:tcPr>
                <w:p>
                  <w:pPr>
                    <w:pStyle w:val="Default"/>
                    <w:keepNext/>
                    <w:ind w:left="214" w:right="-93" w:hanging="322"/>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sz w:val="22"/>
                    </w:rPr>
                  </w:pPr>
                  <w:r>
                    <w:rPr>
                      <w:rFonts w:asciiTheme="minorHAnsi" w:hAnsiTheme="minorHAnsi" w:cstheme="minorHAnsi"/>
                      <w:bCs/>
                      <w:iCs w:val="0"/>
                      <w:sz w:val="22"/>
                    </w:rPr>
                    <w:t>12-13</w:t>
                  </w:r>
                </w:p>
              </w:tc>
              <w:tc>
                <w:tcPr>
                  <w:tcW w:w="1058" w:type="dxa"/>
                  <w:vAlign w:val="center"/>
                </w:tcPr>
                <w:p>
                  <w:pPr>
                    <w:pStyle w:val="Default"/>
                    <w:keepNext/>
                    <w:tabs>
                      <w:tab w:val="left" w:pos="444"/>
                    </w:tabs>
                    <w:ind w:left="214" w:right="-191" w:hanging="337"/>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sz w:val="22"/>
                    </w:rPr>
                  </w:pPr>
                  <w:r>
                    <w:rPr>
                      <w:rFonts w:asciiTheme="minorHAnsi" w:hAnsiTheme="minorHAnsi" w:cstheme="minorHAnsi"/>
                      <w:bCs/>
                      <w:iCs w:val="0"/>
                      <w:sz w:val="22"/>
                    </w:rPr>
                    <w:t>13-14</w:t>
                  </w:r>
                </w:p>
              </w:tc>
              <w:tc>
                <w:tcPr>
                  <w:tcW w:w="1058" w:type="dxa"/>
                  <w:vAlign w:val="center"/>
                </w:tcPr>
                <w:p>
                  <w:pPr>
                    <w:pStyle w:val="Default"/>
                    <w:keepNext/>
                    <w:ind w:left="214" w:right="-111" w:hanging="409"/>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sz w:val="22"/>
                    </w:rPr>
                  </w:pPr>
                  <w:r>
                    <w:rPr>
                      <w:rFonts w:asciiTheme="minorHAnsi" w:hAnsiTheme="minorHAnsi" w:cstheme="minorHAnsi"/>
                      <w:bCs/>
                      <w:iCs w:val="0"/>
                      <w:sz w:val="22"/>
                    </w:rPr>
                    <w:t>14-15</w:t>
                  </w:r>
                </w:p>
              </w:tc>
              <w:tc>
                <w:tcPr>
                  <w:tcW w:w="1058" w:type="dxa"/>
                  <w:vAlign w:val="center"/>
                </w:tcPr>
                <w:p>
                  <w:pPr>
                    <w:pStyle w:val="Default"/>
                    <w:keepNext/>
                    <w:ind w:left="214" w:right="-49" w:hanging="319"/>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sz w:val="22"/>
                    </w:rPr>
                  </w:pPr>
                  <w:r>
                    <w:rPr>
                      <w:rFonts w:asciiTheme="minorHAnsi" w:hAnsiTheme="minorHAnsi" w:cstheme="minorHAnsi"/>
                      <w:bCs/>
                      <w:iCs w:val="0"/>
                      <w:sz w:val="22"/>
                    </w:rPr>
                    <w:t>15-16</w:t>
                  </w:r>
                </w:p>
              </w:tc>
              <w:tc>
                <w:tcPr>
                  <w:tcW w:w="1058" w:type="dxa"/>
                  <w:vAlign w:val="center"/>
                </w:tcPr>
                <w:p>
                  <w:pPr>
                    <w:pStyle w:val="Default"/>
                    <w:keepNext/>
                    <w:ind w:left="214" w:right="-129" w:hanging="381"/>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Cs w:val="0"/>
                      <w:sz w:val="22"/>
                    </w:rPr>
                  </w:pPr>
                  <w:r>
                    <w:rPr>
                      <w:rFonts w:asciiTheme="minorHAnsi" w:hAnsiTheme="minorHAnsi" w:cstheme="minorHAnsi"/>
                      <w:bCs/>
                      <w:iCs w:val="0"/>
                      <w:sz w:val="22"/>
                    </w:rPr>
                    <w:t>16-17</w:t>
                  </w:r>
                </w:p>
              </w:tc>
              <w:tc>
                <w:tcPr>
                  <w:tcW w:w="1058" w:type="dxa"/>
                  <w:vAlign w:val="center"/>
                </w:tcPr>
                <w:p>
                  <w:pPr>
                    <w:pStyle w:val="Default"/>
                    <w:keepNext/>
                    <w:ind w:left="214" w:right="-66" w:hanging="301"/>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bCs/>
                      <w:i w:val="0"/>
                      <w:iCs w:val="0"/>
                      <w:sz w:val="22"/>
                    </w:rPr>
                  </w:pPr>
                  <w:r>
                    <w:rPr>
                      <w:rFonts w:asciiTheme="minorHAnsi" w:hAnsiTheme="minorHAnsi" w:cstheme="minorHAnsi"/>
                      <w:b/>
                      <w:bCs/>
                      <w:i w:val="0"/>
                      <w:iCs w:val="0"/>
                      <w:sz w:val="22"/>
                    </w:rPr>
                    <w:t>17-18</w:t>
                  </w:r>
                </w:p>
              </w:tc>
            </w:tr>
            <w:tr>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2158" w:type="dxa"/>
                  <w:tcBorders>
                    <w:right w:val="single" w:sz="4" w:space="0" w:color="auto"/>
                  </w:tcBorders>
                  <w:vAlign w:val="center"/>
                </w:tcPr>
                <w:p>
                  <w:pPr>
                    <w:pStyle w:val="Default"/>
                    <w:keepNext/>
                    <w:ind w:left="214" w:right="213"/>
                    <w:jc w:val="left"/>
                    <w:rPr>
                      <w:rFonts w:asciiTheme="minorHAnsi" w:hAnsiTheme="minorHAnsi" w:cstheme="minorHAnsi"/>
                      <w:bCs/>
                      <w:iCs w:val="0"/>
                      <w:sz w:val="22"/>
                    </w:rPr>
                  </w:pPr>
                  <w:r>
                    <w:rPr>
                      <w:rFonts w:asciiTheme="minorHAnsi" w:hAnsiTheme="minorHAnsi" w:cstheme="minorHAnsi"/>
                      <w:bCs/>
                      <w:iCs w:val="0"/>
                      <w:sz w:val="22"/>
                    </w:rPr>
                    <w:t>Classe ED</w:t>
                  </w:r>
                </w:p>
              </w:tc>
              <w:tc>
                <w:tcPr>
                  <w:tcW w:w="1057" w:type="dxa"/>
                  <w:tcBorders>
                    <w:left w:val="single" w:sz="4" w:space="0" w:color="auto"/>
                  </w:tcBorders>
                  <w:vAlign w:val="center"/>
                </w:tcPr>
                <w:p>
                  <w:pPr>
                    <w:pStyle w:val="Default"/>
                    <w:keepNext/>
                    <w:ind w:left="214" w:right="213"/>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sz w:val="22"/>
                    </w:rPr>
                  </w:pPr>
                  <w:r>
                    <w:rPr>
                      <w:rFonts w:asciiTheme="minorHAnsi" w:hAnsiTheme="minorHAnsi" w:cstheme="minorHAnsi"/>
                      <w:bCs/>
                      <w:iCs/>
                      <w:sz w:val="22"/>
                    </w:rPr>
                    <w:t>9</w:t>
                  </w:r>
                </w:p>
              </w:tc>
              <w:tc>
                <w:tcPr>
                  <w:tcW w:w="1058" w:type="dxa"/>
                  <w:vAlign w:val="center"/>
                </w:tcPr>
                <w:p>
                  <w:pPr>
                    <w:pStyle w:val="Default"/>
                    <w:keepNext/>
                    <w:ind w:left="214" w:right="213"/>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sz w:val="22"/>
                    </w:rPr>
                  </w:pPr>
                  <w:r>
                    <w:rPr>
                      <w:rFonts w:asciiTheme="minorHAnsi" w:hAnsiTheme="minorHAnsi" w:cstheme="minorHAnsi"/>
                      <w:bCs/>
                      <w:iCs/>
                      <w:sz w:val="22"/>
                    </w:rPr>
                    <w:t>9</w:t>
                  </w:r>
                </w:p>
              </w:tc>
              <w:tc>
                <w:tcPr>
                  <w:tcW w:w="1058" w:type="dxa"/>
                  <w:vAlign w:val="center"/>
                </w:tcPr>
                <w:p>
                  <w:pPr>
                    <w:pStyle w:val="Default"/>
                    <w:keepNext/>
                    <w:ind w:left="214" w:right="213"/>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sz w:val="22"/>
                    </w:rPr>
                  </w:pPr>
                  <w:r>
                    <w:rPr>
                      <w:rFonts w:asciiTheme="minorHAnsi" w:hAnsiTheme="minorHAnsi" w:cstheme="minorHAnsi"/>
                      <w:bCs/>
                      <w:iCs/>
                      <w:sz w:val="22"/>
                    </w:rPr>
                    <w:t>9</w:t>
                  </w:r>
                </w:p>
              </w:tc>
              <w:tc>
                <w:tcPr>
                  <w:tcW w:w="1058" w:type="dxa"/>
                  <w:vAlign w:val="center"/>
                </w:tcPr>
                <w:p>
                  <w:pPr>
                    <w:pStyle w:val="Default"/>
                    <w:keepNext/>
                    <w:ind w:left="214" w:right="213"/>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sz w:val="22"/>
                    </w:rPr>
                  </w:pPr>
                  <w:r>
                    <w:rPr>
                      <w:rFonts w:asciiTheme="minorHAnsi" w:hAnsiTheme="minorHAnsi" w:cstheme="minorHAnsi"/>
                      <w:bCs/>
                      <w:iCs/>
                      <w:sz w:val="22"/>
                    </w:rPr>
                    <w:t>9</w:t>
                  </w:r>
                </w:p>
              </w:tc>
              <w:tc>
                <w:tcPr>
                  <w:tcW w:w="1058" w:type="dxa"/>
                  <w:vAlign w:val="center"/>
                </w:tcPr>
                <w:p>
                  <w:pPr>
                    <w:pStyle w:val="Default"/>
                    <w:keepNext/>
                    <w:ind w:left="214" w:right="213"/>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Cs/>
                      <w:sz w:val="22"/>
                    </w:rPr>
                  </w:pPr>
                  <w:r>
                    <w:rPr>
                      <w:rFonts w:asciiTheme="minorHAnsi" w:hAnsiTheme="minorHAnsi" w:cstheme="minorHAnsi"/>
                      <w:bCs/>
                      <w:iCs/>
                      <w:sz w:val="22"/>
                    </w:rPr>
                    <w:t>9</w:t>
                  </w:r>
                </w:p>
              </w:tc>
              <w:tc>
                <w:tcPr>
                  <w:tcW w:w="1058" w:type="dxa"/>
                  <w:vAlign w:val="center"/>
                </w:tcPr>
                <w:p>
                  <w:pPr>
                    <w:pStyle w:val="Default"/>
                    <w:keepNext/>
                    <w:ind w:left="214" w:right="-66" w:hanging="30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iCs/>
                      <w:sz w:val="22"/>
                    </w:rPr>
                  </w:pPr>
                  <w:r>
                    <w:rPr>
                      <w:rFonts w:asciiTheme="minorHAnsi" w:hAnsiTheme="minorHAnsi" w:cstheme="minorHAnsi"/>
                      <w:b/>
                      <w:bCs/>
                      <w:iCs/>
                      <w:sz w:val="22"/>
                    </w:rPr>
                    <w:t>5</w:t>
                  </w:r>
                </w:p>
              </w:tc>
            </w:tr>
            <w:tr>
              <w:trPr>
                <w:trHeight w:val="323"/>
              </w:trPr>
              <w:tc>
                <w:tcPr>
                  <w:cnfStyle w:val="001000000000" w:firstRow="0" w:lastRow="0" w:firstColumn="1" w:lastColumn="0" w:oddVBand="0" w:evenVBand="0" w:oddHBand="0" w:evenHBand="0" w:firstRowFirstColumn="0" w:firstRowLastColumn="0" w:lastRowFirstColumn="0" w:lastRowLastColumn="0"/>
                  <w:tcW w:w="2158" w:type="dxa"/>
                  <w:vAlign w:val="center"/>
                </w:tcPr>
                <w:p>
                  <w:pPr>
                    <w:pStyle w:val="Default"/>
                    <w:keepNext/>
                    <w:tabs>
                      <w:tab w:val="left" w:pos="1341"/>
                    </w:tabs>
                    <w:ind w:left="214" w:right="-156"/>
                    <w:jc w:val="left"/>
                    <w:rPr>
                      <w:rFonts w:asciiTheme="minorHAnsi" w:hAnsiTheme="minorHAnsi" w:cstheme="minorHAnsi"/>
                      <w:bCs/>
                      <w:iCs w:val="0"/>
                      <w:sz w:val="22"/>
                    </w:rPr>
                  </w:pPr>
                  <w:r>
                    <w:rPr>
                      <w:rFonts w:asciiTheme="minorHAnsi" w:hAnsiTheme="minorHAnsi" w:cstheme="minorHAnsi"/>
                      <w:bCs/>
                      <w:iCs w:val="0"/>
                      <w:sz w:val="22"/>
                    </w:rPr>
                    <w:t>Moyens théoriques</w:t>
                  </w:r>
                </w:p>
              </w:tc>
              <w:tc>
                <w:tcPr>
                  <w:tcW w:w="1057" w:type="dxa"/>
                  <w:tcBorders>
                    <w:tr2bl w:val="single" w:sz="4" w:space="0" w:color="auto"/>
                  </w:tcBorders>
                  <w:vAlign w:val="center"/>
                </w:tcPr>
                <w:p>
                  <w:pPr>
                    <w:pStyle w:val="Default"/>
                    <w:keepNext/>
                    <w:ind w:left="214" w:right="213"/>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p>
              </w:tc>
              <w:tc>
                <w:tcPr>
                  <w:tcW w:w="1058" w:type="dxa"/>
                  <w:tcBorders>
                    <w:tr2bl w:val="single" w:sz="4" w:space="0" w:color="auto"/>
                  </w:tcBorders>
                  <w:vAlign w:val="center"/>
                </w:tcPr>
                <w:p>
                  <w:pPr>
                    <w:pStyle w:val="Default"/>
                    <w:keepNext/>
                    <w:ind w:left="214" w:right="213"/>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p>
              </w:tc>
              <w:tc>
                <w:tcPr>
                  <w:tcW w:w="1058" w:type="dxa"/>
                  <w:tcBorders>
                    <w:tr2bl w:val="single" w:sz="4" w:space="0" w:color="auto"/>
                  </w:tcBorders>
                  <w:vAlign w:val="center"/>
                </w:tcPr>
                <w:p>
                  <w:pPr>
                    <w:pStyle w:val="Default"/>
                    <w:keepNext/>
                    <w:ind w:left="214" w:right="213"/>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p>
              </w:tc>
              <w:tc>
                <w:tcPr>
                  <w:tcW w:w="1058" w:type="dxa"/>
                  <w:tcBorders>
                    <w:tr2bl w:val="single" w:sz="4" w:space="0" w:color="auto"/>
                  </w:tcBorders>
                  <w:vAlign w:val="center"/>
                </w:tcPr>
                <w:p>
                  <w:pPr>
                    <w:pStyle w:val="Default"/>
                    <w:keepNext/>
                    <w:ind w:left="214" w:right="213"/>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p>
              </w:tc>
              <w:tc>
                <w:tcPr>
                  <w:tcW w:w="1058" w:type="dxa"/>
                  <w:tcBorders>
                    <w:tr2bl w:val="single" w:sz="4" w:space="0" w:color="auto"/>
                  </w:tcBorders>
                  <w:vAlign w:val="center"/>
                </w:tcPr>
                <w:p>
                  <w:pPr>
                    <w:pStyle w:val="Default"/>
                    <w:keepNext/>
                    <w:ind w:left="214" w:right="213"/>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Cs/>
                      <w:color w:val="auto"/>
                      <w:sz w:val="22"/>
                    </w:rPr>
                  </w:pPr>
                </w:p>
              </w:tc>
              <w:tc>
                <w:tcPr>
                  <w:tcW w:w="1058" w:type="dxa"/>
                  <w:vAlign w:val="center"/>
                </w:tcPr>
                <w:p>
                  <w:pPr>
                    <w:pStyle w:val="Default"/>
                    <w:keepNext/>
                    <w:ind w:left="214" w:right="-66" w:hanging="30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iCs/>
                      <w:color w:val="auto"/>
                      <w:sz w:val="22"/>
                    </w:rPr>
                  </w:pPr>
                  <w:r>
                    <w:rPr>
                      <w:rFonts w:asciiTheme="minorHAnsi" w:hAnsiTheme="minorHAnsi" w:cstheme="minorHAnsi"/>
                      <w:b/>
                      <w:bCs/>
                      <w:iCs/>
                      <w:color w:val="auto"/>
                      <w:sz w:val="22"/>
                    </w:rPr>
                    <w:t>11</w:t>
                  </w:r>
                </w:p>
              </w:tc>
            </w:tr>
          </w:tbl>
          <w:p>
            <w:pPr>
              <w:pStyle w:val="Default"/>
              <w:spacing w:before="120"/>
              <w:ind w:firstLine="214"/>
              <w:jc w:val="both"/>
              <w:rPr>
                <w:rFonts w:asciiTheme="minorHAnsi" w:hAnsiTheme="minorHAnsi" w:cstheme="minorHAnsi"/>
                <w:b/>
                <w:bCs/>
                <w:iCs/>
                <w:sz w:val="22"/>
              </w:rPr>
            </w:pPr>
            <w:r>
              <w:rPr>
                <w:rFonts w:asciiTheme="minorHAnsi" w:hAnsiTheme="minorHAnsi" w:cstheme="minorHAnsi"/>
                <w:b/>
                <w:bCs/>
                <w:iCs/>
                <w:sz w:val="22"/>
              </w:rPr>
              <w:t>Moyens octroyés 17-18 = Moyenne (Moyens théoriques 17-18) x coef. ajustement</w:t>
            </w:r>
          </w:p>
          <w:p>
            <w:pPr>
              <w:pStyle w:val="Default"/>
              <w:spacing w:after="120"/>
              <w:ind w:left="214" w:right="213" w:firstLine="2126"/>
              <w:jc w:val="both"/>
              <w:rPr>
                <w:rFonts w:asciiTheme="minorHAnsi" w:hAnsiTheme="minorHAnsi" w:cstheme="minorHAnsi"/>
                <w:bCs/>
                <w:iCs/>
                <w:sz w:val="22"/>
              </w:rPr>
            </w:pPr>
            <w:r>
              <w:rPr>
                <w:rFonts w:asciiTheme="minorHAnsi" w:hAnsiTheme="minorHAnsi" w:cstheme="minorHAnsi"/>
                <w:b/>
                <w:bCs/>
                <w:iCs/>
                <w:sz w:val="22"/>
              </w:rPr>
              <w:t xml:space="preserve"> = </w:t>
            </w:r>
            <m:oMath>
              <m:f>
                <m:fPr>
                  <m:ctrlPr>
                    <w:rPr>
                      <w:rFonts w:ascii="Cambria Math" w:hAnsi="Cambria Math" w:cstheme="minorHAnsi"/>
                      <w:b/>
                      <w:bCs/>
                      <w:iCs/>
                      <w:sz w:val="22"/>
                    </w:rPr>
                  </m:ctrlPr>
                </m:fPr>
                <m:num>
                  <m:r>
                    <m:rPr>
                      <m:sty m:val="b"/>
                    </m:rPr>
                    <w:rPr>
                      <w:rFonts w:ascii="Cambria Math" w:hAnsi="Cambria Math" w:cstheme="minorHAnsi"/>
                      <w:sz w:val="22"/>
                    </w:rPr>
                    <m:t>(11)</m:t>
                  </m:r>
                </m:num>
                <m:den>
                  <m:r>
                    <m:rPr>
                      <m:sty m:val="b"/>
                    </m:rPr>
                    <w:rPr>
                      <w:rFonts w:ascii="Cambria Math" w:hAnsi="Cambria Math" w:cstheme="minorHAnsi"/>
                      <w:sz w:val="22"/>
                    </w:rPr>
                    <m:t>1</m:t>
                  </m:r>
                </m:den>
              </m:f>
            </m:oMath>
            <w:r>
              <w:rPr>
                <w:rFonts w:asciiTheme="minorHAnsi" w:hAnsiTheme="minorHAnsi" w:cstheme="minorHAnsi"/>
                <w:b/>
                <w:bCs/>
                <w:iCs/>
                <w:sz w:val="22"/>
              </w:rPr>
              <w:t xml:space="preserve"> x 0,98 = 10 périodes </w:t>
            </w:r>
            <w:r>
              <w:rPr>
                <w:rFonts w:asciiTheme="minorHAnsi" w:hAnsiTheme="minorHAnsi" w:cstheme="minorHAnsi"/>
                <w:bCs/>
                <w:iCs/>
                <w:sz w:val="22"/>
              </w:rPr>
              <w:t>(arrondi à l’unité inférieure)</w:t>
            </w:r>
          </w:p>
          <w:p>
            <w:pPr>
              <w:pStyle w:val="Default"/>
              <w:spacing w:after="120"/>
              <w:ind w:left="214" w:right="213"/>
              <w:jc w:val="both"/>
              <w:rPr>
                <w:rFonts w:asciiTheme="minorHAnsi" w:hAnsiTheme="minorHAnsi" w:cstheme="minorHAnsi"/>
                <w:bCs/>
                <w:iCs/>
                <w:sz w:val="22"/>
              </w:rPr>
            </w:pPr>
            <w:r>
              <w:rPr>
                <w:rFonts w:asciiTheme="minorHAnsi" w:hAnsiTheme="minorHAnsi" w:cstheme="minorHAnsi"/>
                <w:bCs/>
                <w:iCs/>
                <w:sz w:val="22"/>
              </w:rPr>
              <w:t xml:space="preserve">Pour 2018-2019, l’implantation </w:t>
            </w:r>
            <w:r>
              <w:rPr>
                <w:rFonts w:asciiTheme="minorHAnsi" w:hAnsiTheme="minorHAnsi" w:cstheme="minorHAnsi"/>
                <w:bCs/>
                <w:i/>
                <w:iCs/>
                <w:sz w:val="22"/>
              </w:rPr>
              <w:t>G</w:t>
            </w:r>
            <w:r>
              <w:rPr>
                <w:rFonts w:asciiTheme="minorHAnsi" w:hAnsiTheme="minorHAnsi" w:cstheme="minorHAnsi"/>
                <w:bCs/>
                <w:iCs/>
                <w:sz w:val="22"/>
              </w:rPr>
              <w:t xml:space="preserve"> relève encore de la classe 5. Elle satisfait donc toujours la condition 2 et sera bénéficiaire de l’encadrement différencié en 2018-2019. Les moyens octroyés pour 2018-2019 seront déterminés par la même méthode de calcul qu’en 2017-2018, mais avec une moyenne des moyens théoriques sur deux ans.</w:t>
            </w:r>
          </w:p>
          <w:p>
            <w:pPr>
              <w:pStyle w:val="Default"/>
              <w:spacing w:after="120"/>
              <w:ind w:left="214" w:right="213"/>
              <w:jc w:val="both"/>
              <w:rPr>
                <w:rFonts w:asciiTheme="minorHAnsi" w:hAnsiTheme="minorHAnsi" w:cstheme="minorHAnsi"/>
                <w:bCs/>
                <w:iCs/>
                <w:sz w:val="22"/>
              </w:rPr>
            </w:pPr>
            <w:r>
              <w:rPr>
                <w:rFonts w:asciiTheme="minorHAnsi" w:hAnsiTheme="minorHAnsi" w:cstheme="minorHAnsi"/>
                <w:bCs/>
                <w:iCs/>
                <w:sz w:val="22"/>
              </w:rPr>
              <w:t xml:space="preserve">Pour 2019-2020, l’implantation </w:t>
            </w:r>
            <w:r>
              <w:rPr>
                <w:rFonts w:asciiTheme="minorHAnsi" w:hAnsiTheme="minorHAnsi" w:cstheme="minorHAnsi"/>
                <w:bCs/>
                <w:i/>
                <w:iCs/>
                <w:sz w:val="22"/>
              </w:rPr>
              <w:t xml:space="preserve">G </w:t>
            </w:r>
            <w:r>
              <w:rPr>
                <w:rFonts w:asciiTheme="minorHAnsi" w:hAnsiTheme="minorHAnsi" w:cstheme="minorHAnsi"/>
                <w:bCs/>
                <w:iCs/>
                <w:sz w:val="22"/>
              </w:rPr>
              <w:t xml:space="preserve">relève à présent de la classe 6. Dès lors, elle ne satisfait plus ni à la condition 2, à savoir avoir </w:t>
            </w:r>
            <w:r>
              <w:rPr>
                <w:rFonts w:asciiTheme="minorHAnsi" w:hAnsiTheme="minorHAnsi" w:cstheme="minorHAnsi"/>
                <w:b/>
                <w:bCs/>
                <w:iCs/>
                <w:sz w:val="22"/>
                <w:u w:val="single"/>
              </w:rPr>
              <w:t>toujours</w:t>
            </w:r>
            <w:r>
              <w:rPr>
                <w:rFonts w:asciiTheme="minorHAnsi" w:hAnsiTheme="minorHAnsi" w:cstheme="minorHAnsi"/>
                <w:bCs/>
                <w:iCs/>
                <w:sz w:val="22"/>
              </w:rPr>
              <w:t xml:space="preserve"> relevé des classes numérotées de 1 à 5 lors de chaque classement où l’implantation a été classée à partir de 2017-2018, ni à la condition 1, à savoir avoir relevé de la classe 1 à 5 au moins trois fois sur les 6 dernières années. Par conséquent, pour 2019-2020, elle n’est plus bénéficiaire de l’encadrement différencié et ne recevra plus aucun moyen supplémentaire.</w:t>
            </w:r>
          </w:p>
        </w:tc>
      </w:tr>
    </w:tbl>
    <w:p>
      <w:pPr>
        <w:pStyle w:val="Default"/>
        <w:spacing w:before="240" w:after="240"/>
        <w:jc w:val="both"/>
        <w:rPr>
          <w:rFonts w:asciiTheme="minorHAnsi" w:hAnsiTheme="minorHAnsi" w:cstheme="minorHAnsi"/>
          <w:b/>
          <w:bCs/>
          <w:iCs/>
          <w:u w:val="single"/>
        </w:rPr>
      </w:pPr>
    </w:p>
    <w:p>
      <w:pPr>
        <w:pStyle w:val="Default"/>
        <w:keepNext/>
        <w:numPr>
          <w:ilvl w:val="2"/>
          <w:numId w:val="20"/>
        </w:numPr>
        <w:spacing w:before="240" w:after="240"/>
        <w:jc w:val="both"/>
        <w:rPr>
          <w:rFonts w:asciiTheme="minorHAnsi" w:hAnsiTheme="minorHAnsi" w:cstheme="minorHAnsi"/>
          <w:b/>
          <w:bCs/>
          <w:iCs/>
          <w:u w:val="single"/>
        </w:rPr>
      </w:pPr>
      <w:r>
        <w:rPr>
          <w:rFonts w:asciiTheme="minorHAnsi" w:hAnsiTheme="minorHAnsi" w:cstheme="minorHAnsi"/>
          <w:b/>
          <w:bCs/>
          <w:iCs/>
          <w:u w:val="single"/>
        </w:rPr>
        <w:t>Implantations bénéficiaires en 2016-2017 et relevant dès 2017-2018 d’une classe supérieure à la classe 7</w:t>
      </w:r>
      <w:r>
        <w:rPr>
          <w:rStyle w:val="Appelnotedebasdep"/>
          <w:rFonts w:asciiTheme="minorHAnsi" w:hAnsiTheme="minorHAnsi" w:cstheme="minorHAnsi"/>
          <w:b/>
          <w:bCs/>
          <w:iCs/>
          <w:u w:val="single"/>
        </w:rPr>
        <w:footnoteReference w:id="7"/>
      </w:r>
    </w:p>
    <w:p>
      <w:pPr>
        <w:pStyle w:val="Default"/>
        <w:keepNext/>
        <w:spacing w:after="120"/>
        <w:jc w:val="both"/>
        <w:rPr>
          <w:rFonts w:asciiTheme="minorHAnsi" w:hAnsiTheme="minorHAnsi" w:cstheme="minorHAnsi"/>
          <w:bCs/>
          <w:iCs/>
          <w:sz w:val="22"/>
          <w:szCs w:val="22"/>
        </w:rPr>
      </w:pPr>
      <w:r>
        <w:rPr>
          <w:rFonts w:asciiTheme="minorHAnsi" w:hAnsiTheme="minorHAnsi" w:cstheme="minorHAnsi"/>
          <w:bCs/>
          <w:iCs/>
          <w:sz w:val="22"/>
          <w:szCs w:val="22"/>
        </w:rPr>
        <w:t>Pour les implantations qui relevaient des classes 1 à 5 lors du classement 2016-2017 et qui relèvent des classes 8 à 20 lors des classements ultérieurs, seule une part des moyens et périodes calculés sur base de la règle générale, à savoir la moyenne sur les 6 dernières années des moyens théoriques (cf. 3.1. supra), leur est octroyée.</w:t>
      </w:r>
    </w:p>
    <w:p>
      <w:pPr>
        <w:pStyle w:val="Default"/>
        <w:keepNext/>
        <w:spacing w:after="120"/>
        <w:jc w:val="both"/>
        <w:rPr>
          <w:rFonts w:asciiTheme="minorHAnsi" w:hAnsiTheme="minorHAnsi" w:cstheme="minorHAnsi"/>
          <w:bCs/>
          <w:iCs/>
          <w:sz w:val="22"/>
          <w:szCs w:val="22"/>
        </w:rPr>
      </w:pPr>
      <w:r>
        <w:rPr>
          <w:rFonts w:asciiTheme="minorHAnsi" w:hAnsiTheme="minorHAnsi" w:cstheme="minorHAnsi"/>
          <w:bCs/>
          <w:iCs/>
          <w:sz w:val="22"/>
          <w:szCs w:val="22"/>
        </w:rPr>
        <w:t xml:space="preserve">Les implantations classées parmi les classes 1 à 5 en 2016-2017 qui lors des classements des années scolaires 2017-2018, 2018-2019 et 2019-2020 sont classées parmi les </w:t>
      </w:r>
      <w:r>
        <w:rPr>
          <w:rFonts w:asciiTheme="minorHAnsi" w:hAnsiTheme="minorHAnsi" w:cstheme="minorHAnsi"/>
          <w:b/>
          <w:bCs/>
          <w:iCs/>
          <w:sz w:val="22"/>
          <w:szCs w:val="22"/>
        </w:rPr>
        <w:t>classes 8, 9 et 10</w:t>
      </w:r>
      <w:r>
        <w:rPr>
          <w:rFonts w:asciiTheme="minorHAnsi" w:hAnsiTheme="minorHAnsi" w:cstheme="minorHAnsi"/>
          <w:bCs/>
          <w:iCs/>
          <w:sz w:val="22"/>
          <w:szCs w:val="22"/>
        </w:rPr>
        <w:t xml:space="preserve"> reçoivent :</w:t>
      </w:r>
    </w:p>
    <w:p>
      <w:pPr>
        <w:pStyle w:val="Default"/>
        <w:numPr>
          <w:ilvl w:val="0"/>
          <w:numId w:val="11"/>
        </w:numPr>
        <w:spacing w:after="120"/>
        <w:jc w:val="both"/>
        <w:rPr>
          <w:rFonts w:asciiTheme="minorHAnsi" w:hAnsiTheme="minorHAnsi" w:cstheme="minorHAnsi"/>
          <w:bCs/>
          <w:iCs/>
          <w:sz w:val="22"/>
          <w:szCs w:val="22"/>
        </w:rPr>
      </w:pPr>
      <w:r>
        <w:rPr>
          <w:rFonts w:asciiTheme="minorHAnsi" w:hAnsiTheme="minorHAnsi" w:cstheme="minorHAnsi"/>
          <w:bCs/>
          <w:iCs/>
          <w:sz w:val="22"/>
          <w:szCs w:val="22"/>
        </w:rPr>
        <w:t>pour l’année scolaire </w:t>
      </w:r>
      <w:r>
        <w:rPr>
          <w:rFonts w:asciiTheme="minorHAnsi" w:hAnsiTheme="minorHAnsi" w:cstheme="minorHAnsi"/>
          <w:b/>
          <w:bCs/>
          <w:iCs/>
          <w:sz w:val="22"/>
          <w:szCs w:val="22"/>
        </w:rPr>
        <w:t>2017-2018</w:t>
      </w:r>
      <w:r>
        <w:rPr>
          <w:rFonts w:asciiTheme="minorHAnsi" w:hAnsiTheme="minorHAnsi" w:cstheme="minorHAnsi"/>
          <w:bCs/>
          <w:iCs/>
          <w:sz w:val="22"/>
          <w:szCs w:val="22"/>
        </w:rPr>
        <w:t xml:space="preserve">, la </w:t>
      </w:r>
      <w:r>
        <w:rPr>
          <w:rFonts w:asciiTheme="minorHAnsi" w:hAnsiTheme="minorHAnsi" w:cstheme="minorHAnsi"/>
          <w:b/>
          <w:bCs/>
          <w:iCs/>
          <w:sz w:val="22"/>
          <w:szCs w:val="22"/>
        </w:rPr>
        <w:t>totalité (100 %)</w:t>
      </w:r>
      <w:r>
        <w:rPr>
          <w:rFonts w:asciiTheme="minorHAnsi" w:hAnsiTheme="minorHAnsi" w:cstheme="minorHAnsi"/>
          <w:bCs/>
          <w:iCs/>
          <w:sz w:val="22"/>
          <w:szCs w:val="22"/>
        </w:rPr>
        <w:t xml:space="preserve"> des périodes et des moyens calculés sur base de la règle générale ;</w:t>
      </w:r>
    </w:p>
    <w:p>
      <w:pPr>
        <w:pStyle w:val="Default"/>
        <w:numPr>
          <w:ilvl w:val="0"/>
          <w:numId w:val="11"/>
        </w:numPr>
        <w:spacing w:after="120"/>
        <w:jc w:val="both"/>
        <w:rPr>
          <w:rFonts w:asciiTheme="minorHAnsi" w:hAnsiTheme="minorHAnsi" w:cstheme="minorHAnsi"/>
          <w:bCs/>
          <w:iCs/>
          <w:sz w:val="22"/>
          <w:szCs w:val="22"/>
        </w:rPr>
      </w:pPr>
      <w:r>
        <w:rPr>
          <w:rFonts w:asciiTheme="minorHAnsi" w:hAnsiTheme="minorHAnsi" w:cstheme="minorHAnsi"/>
          <w:bCs/>
          <w:iCs/>
          <w:sz w:val="22"/>
          <w:szCs w:val="22"/>
        </w:rPr>
        <w:t>pour l’année scolaire </w:t>
      </w:r>
      <w:r>
        <w:rPr>
          <w:rFonts w:asciiTheme="minorHAnsi" w:hAnsiTheme="minorHAnsi" w:cstheme="minorHAnsi"/>
          <w:b/>
          <w:bCs/>
          <w:iCs/>
          <w:sz w:val="22"/>
          <w:szCs w:val="22"/>
        </w:rPr>
        <w:t>2018-2019</w:t>
      </w:r>
      <w:r>
        <w:rPr>
          <w:rFonts w:asciiTheme="minorHAnsi" w:hAnsiTheme="minorHAnsi" w:cstheme="minorHAnsi"/>
          <w:bCs/>
          <w:iCs/>
          <w:sz w:val="22"/>
          <w:szCs w:val="22"/>
        </w:rPr>
        <w:t xml:space="preserve">, </w:t>
      </w:r>
      <w:r>
        <w:rPr>
          <w:rFonts w:asciiTheme="minorHAnsi" w:hAnsiTheme="minorHAnsi" w:cstheme="minorHAnsi"/>
          <w:b/>
          <w:bCs/>
          <w:iCs/>
          <w:sz w:val="22"/>
          <w:szCs w:val="22"/>
        </w:rPr>
        <w:t>75 %</w:t>
      </w:r>
      <w:r>
        <w:rPr>
          <w:rFonts w:asciiTheme="minorHAnsi" w:hAnsiTheme="minorHAnsi" w:cstheme="minorHAnsi"/>
          <w:bCs/>
          <w:iCs/>
          <w:sz w:val="22"/>
          <w:szCs w:val="22"/>
        </w:rPr>
        <w:t xml:space="preserve"> des périodes et des moyens calculés sur base de la règle générale ;</w:t>
      </w:r>
    </w:p>
    <w:p>
      <w:pPr>
        <w:pStyle w:val="Default"/>
        <w:numPr>
          <w:ilvl w:val="0"/>
          <w:numId w:val="11"/>
        </w:numPr>
        <w:spacing w:after="120"/>
        <w:jc w:val="both"/>
        <w:rPr>
          <w:rFonts w:asciiTheme="minorHAnsi" w:hAnsiTheme="minorHAnsi" w:cstheme="minorHAnsi"/>
          <w:bCs/>
          <w:iCs/>
          <w:sz w:val="22"/>
          <w:szCs w:val="22"/>
        </w:rPr>
      </w:pPr>
      <w:r>
        <w:rPr>
          <w:rFonts w:asciiTheme="minorHAnsi" w:hAnsiTheme="minorHAnsi" w:cstheme="minorHAnsi"/>
          <w:bCs/>
          <w:iCs/>
          <w:sz w:val="22"/>
          <w:szCs w:val="22"/>
        </w:rPr>
        <w:t>pour l’année scolaire </w:t>
      </w:r>
      <w:r>
        <w:rPr>
          <w:rFonts w:asciiTheme="minorHAnsi" w:hAnsiTheme="minorHAnsi" w:cstheme="minorHAnsi"/>
          <w:b/>
          <w:bCs/>
          <w:iCs/>
          <w:sz w:val="22"/>
          <w:szCs w:val="22"/>
        </w:rPr>
        <w:t>2019-2020</w:t>
      </w:r>
      <w:r>
        <w:rPr>
          <w:rFonts w:asciiTheme="minorHAnsi" w:hAnsiTheme="minorHAnsi" w:cstheme="minorHAnsi"/>
          <w:bCs/>
          <w:iCs/>
          <w:sz w:val="22"/>
          <w:szCs w:val="22"/>
        </w:rPr>
        <w:t xml:space="preserve">, </w:t>
      </w:r>
      <w:r>
        <w:rPr>
          <w:rFonts w:asciiTheme="minorHAnsi" w:hAnsiTheme="minorHAnsi" w:cstheme="minorHAnsi"/>
          <w:b/>
          <w:bCs/>
          <w:iCs/>
          <w:sz w:val="22"/>
          <w:szCs w:val="22"/>
        </w:rPr>
        <w:t>50 %</w:t>
      </w:r>
      <w:r>
        <w:rPr>
          <w:rFonts w:asciiTheme="minorHAnsi" w:hAnsiTheme="minorHAnsi" w:cstheme="minorHAnsi"/>
          <w:bCs/>
          <w:iCs/>
          <w:sz w:val="22"/>
          <w:szCs w:val="22"/>
        </w:rPr>
        <w:t xml:space="preserve"> des périodes et des moyens calculés sur base de la règle générale.</w:t>
      </w:r>
    </w:p>
    <w:p>
      <w:pPr>
        <w:pStyle w:val="Default"/>
        <w:spacing w:after="120"/>
        <w:jc w:val="both"/>
        <w:rPr>
          <w:rFonts w:asciiTheme="minorHAnsi" w:hAnsiTheme="minorHAnsi" w:cstheme="minorHAnsi"/>
          <w:bCs/>
          <w:iCs/>
          <w:sz w:val="22"/>
          <w:szCs w:val="22"/>
        </w:rPr>
      </w:pPr>
      <w:r>
        <w:rPr>
          <w:rFonts w:asciiTheme="minorHAnsi" w:hAnsiTheme="minorHAnsi" w:cstheme="minorHAnsi"/>
          <w:bCs/>
          <w:iCs/>
          <w:sz w:val="22"/>
          <w:szCs w:val="22"/>
        </w:rPr>
        <w:t xml:space="preserve">Les implantations classées parmi les classes 1 à 5 en 2016-2017 qui lors des classements des années scolaires 2017-2018, 2018-2019 et 2019-2020 sont classées parmi les </w:t>
      </w:r>
      <w:r>
        <w:rPr>
          <w:rFonts w:asciiTheme="minorHAnsi" w:hAnsiTheme="minorHAnsi" w:cstheme="minorHAnsi"/>
          <w:b/>
          <w:bCs/>
          <w:iCs/>
          <w:sz w:val="22"/>
          <w:szCs w:val="22"/>
        </w:rPr>
        <w:t>classes 11 à 20</w:t>
      </w:r>
      <w:r>
        <w:rPr>
          <w:rFonts w:asciiTheme="minorHAnsi" w:hAnsiTheme="minorHAnsi" w:cstheme="minorHAnsi"/>
          <w:bCs/>
          <w:iCs/>
          <w:sz w:val="22"/>
          <w:szCs w:val="22"/>
        </w:rPr>
        <w:t xml:space="preserve"> reçoivent :</w:t>
      </w:r>
    </w:p>
    <w:p>
      <w:pPr>
        <w:pStyle w:val="Default"/>
        <w:numPr>
          <w:ilvl w:val="0"/>
          <w:numId w:val="11"/>
        </w:numPr>
        <w:spacing w:after="120"/>
        <w:jc w:val="both"/>
        <w:rPr>
          <w:rFonts w:asciiTheme="minorHAnsi" w:hAnsiTheme="minorHAnsi" w:cstheme="minorHAnsi"/>
          <w:bCs/>
          <w:iCs/>
          <w:sz w:val="22"/>
          <w:szCs w:val="22"/>
        </w:rPr>
      </w:pPr>
      <w:r>
        <w:rPr>
          <w:rFonts w:asciiTheme="minorHAnsi" w:hAnsiTheme="minorHAnsi" w:cstheme="minorHAnsi"/>
          <w:bCs/>
          <w:iCs/>
          <w:sz w:val="22"/>
          <w:szCs w:val="22"/>
        </w:rPr>
        <w:t>pour l’année scolaire </w:t>
      </w:r>
      <w:r>
        <w:rPr>
          <w:rFonts w:asciiTheme="minorHAnsi" w:hAnsiTheme="minorHAnsi" w:cstheme="minorHAnsi"/>
          <w:b/>
          <w:bCs/>
          <w:iCs/>
          <w:sz w:val="22"/>
          <w:szCs w:val="22"/>
        </w:rPr>
        <w:t>2017-2018</w:t>
      </w:r>
      <w:r>
        <w:rPr>
          <w:rFonts w:asciiTheme="minorHAnsi" w:hAnsiTheme="minorHAnsi" w:cstheme="minorHAnsi"/>
          <w:bCs/>
          <w:iCs/>
          <w:sz w:val="22"/>
          <w:szCs w:val="22"/>
        </w:rPr>
        <w:t xml:space="preserve">, la </w:t>
      </w:r>
      <w:r>
        <w:rPr>
          <w:rFonts w:asciiTheme="minorHAnsi" w:hAnsiTheme="minorHAnsi" w:cstheme="minorHAnsi"/>
          <w:b/>
          <w:bCs/>
          <w:iCs/>
          <w:sz w:val="22"/>
          <w:szCs w:val="22"/>
        </w:rPr>
        <w:t>totalité (100 %)</w:t>
      </w:r>
      <w:r>
        <w:rPr>
          <w:rFonts w:asciiTheme="minorHAnsi" w:hAnsiTheme="minorHAnsi" w:cstheme="minorHAnsi"/>
          <w:bCs/>
          <w:iCs/>
          <w:sz w:val="22"/>
          <w:szCs w:val="22"/>
        </w:rPr>
        <w:t xml:space="preserve"> des périodes et des moyens calculés sur base de la règle générale ;</w:t>
      </w:r>
    </w:p>
    <w:p>
      <w:pPr>
        <w:pStyle w:val="Default"/>
        <w:numPr>
          <w:ilvl w:val="0"/>
          <w:numId w:val="11"/>
        </w:numPr>
        <w:spacing w:after="120"/>
        <w:jc w:val="both"/>
        <w:rPr>
          <w:rFonts w:asciiTheme="minorHAnsi" w:hAnsiTheme="minorHAnsi" w:cstheme="minorHAnsi"/>
          <w:bCs/>
          <w:iCs/>
          <w:sz w:val="22"/>
          <w:szCs w:val="22"/>
        </w:rPr>
      </w:pPr>
      <w:r>
        <w:rPr>
          <w:rFonts w:asciiTheme="minorHAnsi" w:hAnsiTheme="minorHAnsi" w:cstheme="minorHAnsi"/>
          <w:bCs/>
          <w:iCs/>
          <w:sz w:val="22"/>
          <w:szCs w:val="22"/>
        </w:rPr>
        <w:t>pour l’année scolaire </w:t>
      </w:r>
      <w:r>
        <w:rPr>
          <w:rFonts w:asciiTheme="minorHAnsi" w:hAnsiTheme="minorHAnsi" w:cstheme="minorHAnsi"/>
          <w:b/>
          <w:bCs/>
          <w:iCs/>
          <w:sz w:val="22"/>
          <w:szCs w:val="22"/>
        </w:rPr>
        <w:t>2018-2019</w:t>
      </w:r>
      <w:r>
        <w:rPr>
          <w:rFonts w:asciiTheme="minorHAnsi" w:hAnsiTheme="minorHAnsi" w:cstheme="minorHAnsi"/>
          <w:bCs/>
          <w:iCs/>
          <w:sz w:val="22"/>
          <w:szCs w:val="22"/>
        </w:rPr>
        <w:t xml:space="preserve">, </w:t>
      </w:r>
      <w:r>
        <w:rPr>
          <w:rFonts w:asciiTheme="minorHAnsi" w:hAnsiTheme="minorHAnsi" w:cstheme="minorHAnsi"/>
          <w:b/>
          <w:bCs/>
          <w:iCs/>
          <w:sz w:val="22"/>
          <w:szCs w:val="22"/>
        </w:rPr>
        <w:t>50 %</w:t>
      </w:r>
      <w:r>
        <w:rPr>
          <w:rFonts w:asciiTheme="minorHAnsi" w:hAnsiTheme="minorHAnsi" w:cstheme="minorHAnsi"/>
          <w:bCs/>
          <w:iCs/>
          <w:sz w:val="22"/>
          <w:szCs w:val="22"/>
        </w:rPr>
        <w:t xml:space="preserve"> des périodes et des moyens calculés sur base de la règle générale ;</w:t>
      </w:r>
    </w:p>
    <w:p>
      <w:pPr>
        <w:pStyle w:val="Default"/>
        <w:numPr>
          <w:ilvl w:val="0"/>
          <w:numId w:val="11"/>
        </w:numPr>
        <w:spacing w:after="120"/>
        <w:jc w:val="both"/>
        <w:rPr>
          <w:rFonts w:asciiTheme="minorHAnsi" w:hAnsiTheme="minorHAnsi" w:cstheme="minorHAnsi"/>
          <w:bCs/>
          <w:iCs/>
          <w:sz w:val="22"/>
          <w:szCs w:val="22"/>
        </w:rPr>
      </w:pPr>
      <w:r>
        <w:rPr>
          <w:rFonts w:asciiTheme="minorHAnsi" w:hAnsiTheme="minorHAnsi" w:cstheme="minorHAnsi"/>
          <w:bCs/>
          <w:iCs/>
          <w:sz w:val="22"/>
          <w:szCs w:val="22"/>
        </w:rPr>
        <w:t>pour l’année scolaire </w:t>
      </w:r>
      <w:r>
        <w:rPr>
          <w:rFonts w:asciiTheme="minorHAnsi" w:hAnsiTheme="minorHAnsi" w:cstheme="minorHAnsi"/>
          <w:b/>
          <w:bCs/>
          <w:iCs/>
          <w:sz w:val="22"/>
          <w:szCs w:val="22"/>
        </w:rPr>
        <w:t>2019-2020</w:t>
      </w:r>
      <w:r>
        <w:rPr>
          <w:rFonts w:asciiTheme="minorHAnsi" w:hAnsiTheme="minorHAnsi" w:cstheme="minorHAnsi"/>
          <w:bCs/>
          <w:iCs/>
          <w:sz w:val="22"/>
          <w:szCs w:val="22"/>
        </w:rPr>
        <w:t xml:space="preserve">, </w:t>
      </w:r>
      <w:r>
        <w:rPr>
          <w:rFonts w:asciiTheme="minorHAnsi" w:hAnsiTheme="minorHAnsi" w:cstheme="minorHAnsi"/>
          <w:b/>
          <w:bCs/>
          <w:iCs/>
          <w:sz w:val="22"/>
          <w:szCs w:val="22"/>
        </w:rPr>
        <w:t>aucune</w:t>
      </w:r>
      <w:r>
        <w:rPr>
          <w:rFonts w:asciiTheme="minorHAnsi" w:hAnsiTheme="minorHAnsi" w:cstheme="minorHAnsi"/>
          <w:bCs/>
          <w:iCs/>
          <w:sz w:val="22"/>
          <w:szCs w:val="22"/>
        </w:rPr>
        <w:t xml:space="preserve"> </w:t>
      </w:r>
      <w:r>
        <w:rPr>
          <w:rFonts w:asciiTheme="minorHAnsi" w:hAnsiTheme="minorHAnsi" w:cstheme="minorHAnsi"/>
          <w:b/>
          <w:bCs/>
          <w:iCs/>
          <w:sz w:val="22"/>
          <w:szCs w:val="22"/>
        </w:rPr>
        <w:t>période et aucun moyen</w:t>
      </w:r>
      <w:r>
        <w:rPr>
          <w:rFonts w:asciiTheme="minorHAnsi" w:hAnsiTheme="minorHAnsi" w:cstheme="minorHAnsi"/>
          <w:bCs/>
          <w:iCs/>
          <w:sz w:val="22"/>
          <w:szCs w:val="22"/>
        </w:rPr>
        <w:t xml:space="preserve"> même si elles satisfont à la condition 1 pour être bénéficiaire de l’encadrement différencié.</w:t>
      </w:r>
    </w:p>
    <w:p>
      <w:pPr>
        <w:pStyle w:val="Default"/>
        <w:spacing w:after="120"/>
        <w:jc w:val="both"/>
        <w:rPr>
          <w:rFonts w:asciiTheme="minorHAnsi" w:hAnsiTheme="minorHAnsi" w:cstheme="minorHAnsi"/>
          <w:bCs/>
          <w:iCs/>
          <w:sz w:val="22"/>
          <w:szCs w:val="22"/>
        </w:rPr>
      </w:pPr>
    </w:p>
    <w:p>
      <w:pPr>
        <w:pStyle w:val="Paragraphedeliste"/>
        <w:numPr>
          <w:ilvl w:val="0"/>
          <w:numId w:val="20"/>
        </w:numPr>
        <w:spacing w:before="360" w:after="240"/>
        <w:ind w:left="425" w:hanging="425"/>
        <w:contextualSpacing w:val="0"/>
        <w:jc w:val="both"/>
        <w:rPr>
          <w:rFonts w:asciiTheme="minorHAnsi" w:hAnsiTheme="minorHAnsi" w:cstheme="minorHAnsi"/>
          <w:b/>
          <w:bCs/>
          <w:sz w:val="28"/>
          <w:szCs w:val="28"/>
          <w:u w:val="single"/>
        </w:rPr>
      </w:pPr>
      <w:r>
        <w:rPr>
          <w:rFonts w:asciiTheme="minorHAnsi" w:hAnsiTheme="minorHAnsi" w:cstheme="minorHAnsi"/>
          <w:b/>
          <w:bCs/>
          <w:sz w:val="28"/>
          <w:szCs w:val="28"/>
          <w:u w:val="single"/>
        </w:rPr>
        <w:t>Utilisation des moyens</w:t>
      </w:r>
    </w:p>
    <w:p>
      <w:pPr>
        <w:pStyle w:val="Default"/>
        <w:spacing w:after="120"/>
        <w:jc w:val="both"/>
        <w:rPr>
          <w:rFonts w:asciiTheme="minorHAnsi" w:hAnsiTheme="minorHAnsi" w:cstheme="minorHAnsi"/>
          <w:bCs/>
          <w:iCs/>
          <w:sz w:val="22"/>
          <w:szCs w:val="22"/>
        </w:rPr>
      </w:pPr>
      <w:r>
        <w:rPr>
          <w:rFonts w:asciiTheme="minorHAnsi" w:hAnsiTheme="minorHAnsi" w:cstheme="minorHAnsi"/>
          <w:bCs/>
          <w:iCs/>
          <w:sz w:val="22"/>
          <w:szCs w:val="22"/>
        </w:rPr>
        <w:t xml:space="preserve">Les moyens d’encadrement et financiers octroyés aux implantations bénéficiaires doivent être utilisés au bénéfice des élèves des implantations qui les ont générés. </w:t>
      </w:r>
      <w:r>
        <w:rPr>
          <w:rFonts w:asciiTheme="minorHAnsi" w:hAnsiTheme="minorHAnsi" w:cstheme="minorHAnsi"/>
          <w:b/>
          <w:bCs/>
          <w:iCs/>
          <w:sz w:val="22"/>
          <w:szCs w:val="22"/>
        </w:rPr>
        <w:t>En aucun cas, ces périodes et ces crédits complémentaires ne peuvent bénéficier à des implantations non bénéficiaires de l’encadrement différencié ou à d’autres fins que celles visées par l’article 9, §§ 1 et 2, du décret du 30 avril 2009</w:t>
      </w:r>
      <w:r>
        <w:rPr>
          <w:rFonts w:asciiTheme="minorHAnsi" w:hAnsiTheme="minorHAnsi" w:cstheme="minorHAnsi"/>
          <w:bCs/>
          <w:iCs/>
          <w:sz w:val="22"/>
          <w:szCs w:val="22"/>
        </w:rPr>
        <w:t>.</w:t>
      </w:r>
    </w:p>
    <w:p>
      <w:pPr>
        <w:pStyle w:val="Default"/>
        <w:spacing w:after="120"/>
        <w:jc w:val="both"/>
        <w:rPr>
          <w:rFonts w:asciiTheme="minorHAnsi" w:hAnsiTheme="minorHAnsi" w:cstheme="minorHAnsi"/>
          <w:bCs/>
          <w:iCs/>
          <w:sz w:val="22"/>
          <w:szCs w:val="22"/>
        </w:rPr>
      </w:pPr>
      <w:r>
        <w:rPr>
          <w:rFonts w:asciiTheme="minorHAnsi" w:hAnsiTheme="minorHAnsi" w:cstheme="minorHAnsi"/>
          <w:bCs/>
          <w:iCs/>
          <w:sz w:val="22"/>
          <w:szCs w:val="22"/>
        </w:rPr>
        <w:t>Les synergies avec les associations locales et régionales agissant dans les quartiers ainsi que les partenariats entre plusieurs implantations bénéficiaires de l’encadrement différencié sont encouragés. Dans ce cadre, les moyens d’encadrement et les moyens financiers complémentaires peuvent être réunis et utilisés en commun par plusieurs implantations (bénéficiaires des moyens de l’encadrement différencié).</w:t>
      </w:r>
    </w:p>
    <w:p>
      <w:pPr>
        <w:pStyle w:val="Default"/>
        <w:numPr>
          <w:ilvl w:val="1"/>
          <w:numId w:val="20"/>
        </w:numPr>
        <w:spacing w:after="120"/>
        <w:jc w:val="both"/>
        <w:rPr>
          <w:rFonts w:asciiTheme="minorHAnsi" w:hAnsiTheme="minorHAnsi" w:cstheme="minorHAnsi"/>
          <w:b/>
          <w:bCs/>
          <w:iCs/>
          <w:sz w:val="22"/>
          <w:szCs w:val="22"/>
        </w:rPr>
      </w:pPr>
      <w:r>
        <w:rPr>
          <w:rFonts w:asciiTheme="minorHAnsi" w:hAnsiTheme="minorHAnsi" w:cstheme="minorHAnsi"/>
          <w:b/>
          <w:bCs/>
          <w:iCs/>
          <w:sz w:val="22"/>
          <w:szCs w:val="22"/>
          <w:u w:val="single"/>
        </w:rPr>
        <w:t>Utilisation des périodes-professeur complémentaires</w:t>
      </w:r>
      <w:r>
        <w:rPr>
          <w:rFonts w:asciiTheme="minorHAnsi" w:hAnsiTheme="minorHAnsi" w:cstheme="minorHAnsi"/>
          <w:b/>
          <w:bCs/>
          <w:iCs/>
          <w:sz w:val="22"/>
          <w:szCs w:val="22"/>
        </w:rPr>
        <w:t xml:space="preserve"> :</w:t>
      </w:r>
    </w:p>
    <w:p>
      <w:pPr>
        <w:pStyle w:val="Default"/>
        <w:tabs>
          <w:tab w:val="left" w:pos="284"/>
        </w:tabs>
        <w:spacing w:after="80"/>
        <w:jc w:val="both"/>
        <w:rPr>
          <w:rFonts w:asciiTheme="minorHAnsi" w:hAnsiTheme="minorHAnsi" w:cstheme="minorHAnsi"/>
          <w:sz w:val="22"/>
          <w:szCs w:val="22"/>
        </w:rPr>
      </w:pPr>
      <w:r>
        <w:rPr>
          <w:rFonts w:asciiTheme="minorHAnsi" w:hAnsiTheme="minorHAnsi" w:cstheme="minorHAnsi"/>
          <w:sz w:val="22"/>
          <w:szCs w:val="22"/>
        </w:rPr>
        <w:t>Conformément à l’article 10, §1</w:t>
      </w:r>
      <w:r>
        <w:rPr>
          <w:rFonts w:asciiTheme="minorHAnsi" w:hAnsiTheme="minorHAnsi" w:cstheme="minorHAnsi"/>
          <w:sz w:val="22"/>
          <w:szCs w:val="22"/>
          <w:vertAlign w:val="superscript"/>
        </w:rPr>
        <w:t>er</w:t>
      </w:r>
      <w:r>
        <w:rPr>
          <w:rFonts w:asciiTheme="minorHAnsi" w:hAnsiTheme="minorHAnsi" w:cstheme="minorHAnsi"/>
          <w:sz w:val="22"/>
          <w:szCs w:val="22"/>
        </w:rPr>
        <w:t xml:space="preserve"> du décret du 30 avril 2009, les périodes-professeur octroyées dans l’enseignement secondaire doivent être mobilisées pour l’encadrement en classe ou hors classe, la remédiation, l’étude dirigée, l’apprentissage du français, le soutien dans l’apprentissage, le conseil pédagogique, la formation, le travail en équipe ou le tutorat dans le cadre de la lutte contre l’échec et le décrochage scolaires et peuvent permettre :</w:t>
      </w:r>
    </w:p>
    <w:p>
      <w:pPr>
        <w:pStyle w:val="Default"/>
        <w:numPr>
          <w:ilvl w:val="0"/>
          <w:numId w:val="37"/>
        </w:numPr>
        <w:tabs>
          <w:tab w:val="left" w:pos="284"/>
        </w:tabs>
        <w:spacing w:after="80"/>
        <w:jc w:val="both"/>
        <w:rPr>
          <w:rFonts w:asciiTheme="minorHAnsi" w:hAnsiTheme="minorHAnsi" w:cstheme="minorHAnsi"/>
          <w:sz w:val="22"/>
          <w:szCs w:val="22"/>
        </w:rPr>
      </w:pPr>
      <w:r>
        <w:rPr>
          <w:rFonts w:asciiTheme="minorHAnsi" w:hAnsiTheme="minorHAnsi" w:cstheme="minorHAnsi"/>
          <w:sz w:val="22"/>
          <w:szCs w:val="22"/>
        </w:rPr>
        <w:t>L’engagement ou la désignation d’enseignants.</w:t>
      </w:r>
    </w:p>
    <w:p>
      <w:pPr>
        <w:pStyle w:val="Default"/>
        <w:numPr>
          <w:ilvl w:val="0"/>
          <w:numId w:val="37"/>
        </w:numPr>
        <w:tabs>
          <w:tab w:val="left" w:pos="0"/>
        </w:tabs>
        <w:spacing w:after="80"/>
        <w:ind w:left="284" w:hanging="284"/>
        <w:jc w:val="both"/>
        <w:rPr>
          <w:rFonts w:asciiTheme="minorHAnsi" w:hAnsiTheme="minorHAnsi" w:cstheme="minorHAnsi"/>
          <w:sz w:val="22"/>
          <w:szCs w:val="22"/>
        </w:rPr>
      </w:pPr>
      <w:r>
        <w:rPr>
          <w:rFonts w:asciiTheme="minorHAnsi" w:hAnsiTheme="minorHAnsi" w:cstheme="minorHAnsi"/>
          <w:sz w:val="22"/>
          <w:szCs w:val="22"/>
        </w:rPr>
        <w:t xml:space="preserve">L’engagement ou la désignation de personnel auxiliaire d’éducation (remarque : pour un éducateur, une charge complète = 24 périodes-professeur). </w:t>
      </w:r>
    </w:p>
    <w:p>
      <w:pPr>
        <w:pStyle w:val="Default"/>
        <w:numPr>
          <w:ilvl w:val="0"/>
          <w:numId w:val="37"/>
        </w:numPr>
        <w:tabs>
          <w:tab w:val="left" w:pos="284"/>
        </w:tabs>
        <w:spacing w:after="80"/>
        <w:ind w:left="284" w:hanging="284"/>
        <w:jc w:val="both"/>
        <w:rPr>
          <w:rFonts w:asciiTheme="minorHAnsi" w:hAnsiTheme="minorHAnsi" w:cstheme="minorHAnsi"/>
          <w:sz w:val="22"/>
          <w:szCs w:val="22"/>
        </w:rPr>
      </w:pPr>
      <w:r>
        <w:rPr>
          <w:rFonts w:asciiTheme="minorHAnsi" w:hAnsiTheme="minorHAnsi" w:cstheme="minorHAnsi"/>
          <w:sz w:val="22"/>
          <w:szCs w:val="22"/>
        </w:rPr>
        <w:t xml:space="preserve">L’engagement ou la désignation de proviseur ou de sous-directeur, à raison exclusivement de 28 périodes pour un temps plein ou de 14 périodes pour un mi-temps, lequel peut être imputé pour partie à charge des moyens humains sous forme de périodes-professeur supplémentaires octroyées dans le cadre de l’encadrement différencié et pour partie à charge du nombre total de périodes-professeur accordé en application du décret du 29 juillet 1992 portant organisation de l’enseignement secondaire de plein exercice. </w:t>
      </w:r>
    </w:p>
    <w:p>
      <w:pPr>
        <w:pStyle w:val="Default"/>
        <w:numPr>
          <w:ilvl w:val="0"/>
          <w:numId w:val="37"/>
        </w:numPr>
        <w:tabs>
          <w:tab w:val="left" w:pos="142"/>
        </w:tabs>
        <w:spacing w:after="80"/>
        <w:ind w:left="284" w:hanging="284"/>
        <w:jc w:val="both"/>
        <w:rPr>
          <w:rFonts w:asciiTheme="minorHAnsi" w:hAnsiTheme="minorHAnsi" w:cstheme="minorHAnsi"/>
          <w:sz w:val="22"/>
          <w:szCs w:val="22"/>
        </w:rPr>
      </w:pPr>
      <w:r>
        <w:rPr>
          <w:rFonts w:asciiTheme="minorHAnsi" w:hAnsiTheme="minorHAnsi" w:cstheme="minorHAnsi"/>
          <w:sz w:val="22"/>
          <w:szCs w:val="22"/>
        </w:rPr>
        <w:t xml:space="preserve">L’engagement ou la désignation, à titre temporaire et pour une durée déterminée, dans le centre psycho-médico-social compétent pour une ou plusieurs implantations bénéficiaires de l’encadrement différencié et avec mise à disposition spécifique pour cette ou ces implantations, d’un auxiliaire social, d’un auxiliaire paramédical, d’un auxiliaire psychopédagogique ou d’un conseiller psychopédagogique supplémentaire d’au moins un quart-temps, cet emploi étant converti en périodes-professeur, à raison de 22 périodes par charge complète. </w:t>
      </w:r>
    </w:p>
    <w:p>
      <w:pPr>
        <w:pStyle w:val="Default"/>
        <w:numPr>
          <w:ilvl w:val="0"/>
          <w:numId w:val="37"/>
        </w:numPr>
        <w:tabs>
          <w:tab w:val="left" w:pos="142"/>
        </w:tabs>
        <w:spacing w:after="80"/>
        <w:ind w:left="284" w:hanging="284"/>
        <w:jc w:val="both"/>
        <w:rPr>
          <w:rFonts w:asciiTheme="minorHAnsi" w:hAnsiTheme="minorHAnsi" w:cstheme="minorHAnsi"/>
          <w:sz w:val="22"/>
          <w:szCs w:val="22"/>
        </w:rPr>
      </w:pPr>
      <w:r>
        <w:rPr>
          <w:rFonts w:asciiTheme="minorHAnsi" w:hAnsiTheme="minorHAnsi" w:cstheme="minorHAnsi"/>
          <w:sz w:val="22"/>
          <w:szCs w:val="22"/>
        </w:rPr>
        <w:t>L'engagement ou la désignation, à titre temporaire et pour une durée déterminée, dans l'enseignement secondaire artistique à horaire réduit, pour une ou plusieurs implantations bénéficiaires de l'encadrement différencié et avec mise à disposition spécifique pour cette ou ces implantations d'un ou plusieurs membres du personnel enseignant d'un établissement d'enseignement secondaire artistique à horaire réduit, cet emploi étant converti en dotation de périodes, à raison de 24 périodes par charge complète.</w:t>
      </w:r>
    </w:p>
    <w:p>
      <w:pPr>
        <w:pStyle w:val="Default"/>
        <w:tabs>
          <w:tab w:val="left" w:pos="284"/>
        </w:tabs>
        <w:spacing w:before="120" w:after="120"/>
        <w:jc w:val="both"/>
        <w:rPr>
          <w:rFonts w:asciiTheme="minorHAnsi" w:hAnsiTheme="minorHAnsi" w:cstheme="minorHAnsi"/>
          <w:sz w:val="22"/>
          <w:szCs w:val="22"/>
        </w:rPr>
      </w:pPr>
      <w:r>
        <w:rPr>
          <w:rFonts w:asciiTheme="minorHAnsi" w:hAnsiTheme="minorHAnsi" w:cstheme="minorHAnsi"/>
          <w:sz w:val="22"/>
          <w:szCs w:val="22"/>
        </w:rPr>
        <w:t xml:space="preserve">Dans les cas visés aux points 1 ° à 5 ° : </w:t>
      </w:r>
    </w:p>
    <w:p>
      <w:pPr>
        <w:pStyle w:val="Default"/>
        <w:numPr>
          <w:ilvl w:val="0"/>
          <w:numId w:val="38"/>
        </w:numPr>
        <w:tabs>
          <w:tab w:val="left" w:pos="426"/>
        </w:tabs>
        <w:spacing w:after="80"/>
        <w:ind w:left="284"/>
        <w:jc w:val="both"/>
        <w:rPr>
          <w:rFonts w:asciiTheme="minorHAnsi" w:hAnsiTheme="minorHAnsi" w:cstheme="minorHAnsi"/>
          <w:sz w:val="22"/>
          <w:szCs w:val="22"/>
        </w:rPr>
      </w:pPr>
      <w:r>
        <w:rPr>
          <w:rFonts w:asciiTheme="minorHAnsi" w:hAnsiTheme="minorHAnsi" w:cstheme="minorHAnsi"/>
          <w:sz w:val="22"/>
          <w:szCs w:val="22"/>
        </w:rPr>
        <w:t xml:space="preserve">Les moyens d’encadrement sous forme de périodes-professeur sont attribués après concertation avec les organisations syndicales représentatives conformément à l’article 8 du décret. </w:t>
      </w:r>
    </w:p>
    <w:p>
      <w:pPr>
        <w:pStyle w:val="Default"/>
        <w:numPr>
          <w:ilvl w:val="0"/>
          <w:numId w:val="38"/>
        </w:numPr>
        <w:tabs>
          <w:tab w:val="left" w:pos="284"/>
        </w:tabs>
        <w:spacing w:after="80"/>
        <w:ind w:left="284" w:hanging="284"/>
        <w:jc w:val="both"/>
        <w:rPr>
          <w:rFonts w:asciiTheme="minorHAnsi" w:hAnsiTheme="minorHAnsi" w:cstheme="minorHAnsi"/>
          <w:sz w:val="22"/>
          <w:szCs w:val="22"/>
        </w:rPr>
      </w:pPr>
      <w:r>
        <w:rPr>
          <w:rFonts w:asciiTheme="minorHAnsi" w:hAnsiTheme="minorHAnsi" w:cstheme="minorHAnsi"/>
          <w:sz w:val="22"/>
          <w:szCs w:val="22"/>
        </w:rPr>
        <w:t xml:space="preserve">Les services prestés dans ce cadre sont en tout point assimilés aux services prestés dans le cadre organique. </w:t>
      </w:r>
    </w:p>
    <w:p>
      <w:pPr>
        <w:pStyle w:val="Default"/>
        <w:numPr>
          <w:ilvl w:val="0"/>
          <w:numId w:val="38"/>
        </w:numPr>
        <w:tabs>
          <w:tab w:val="left" w:pos="284"/>
        </w:tabs>
        <w:spacing w:after="80"/>
        <w:jc w:val="both"/>
        <w:rPr>
          <w:rFonts w:asciiTheme="minorHAnsi" w:hAnsiTheme="minorHAnsi" w:cstheme="minorHAnsi"/>
          <w:sz w:val="22"/>
          <w:szCs w:val="22"/>
        </w:rPr>
      </w:pPr>
      <w:r>
        <w:rPr>
          <w:rFonts w:asciiTheme="minorHAnsi" w:hAnsiTheme="minorHAnsi" w:cstheme="minorHAnsi"/>
          <w:sz w:val="22"/>
          <w:szCs w:val="22"/>
        </w:rPr>
        <w:t>L’accès à ces emplois est soumis aux mêmes dispositions statutaires que ceux du cadre organique.</w:t>
      </w:r>
    </w:p>
    <w:p>
      <w:pPr>
        <w:pStyle w:val="Default"/>
        <w:numPr>
          <w:ilvl w:val="0"/>
          <w:numId w:val="38"/>
        </w:numPr>
        <w:tabs>
          <w:tab w:val="left" w:pos="284"/>
        </w:tabs>
        <w:spacing w:after="80"/>
        <w:ind w:left="284" w:hanging="284"/>
        <w:jc w:val="both"/>
        <w:rPr>
          <w:rFonts w:asciiTheme="minorHAnsi" w:hAnsiTheme="minorHAnsi" w:cstheme="minorHAnsi"/>
          <w:sz w:val="22"/>
          <w:szCs w:val="22"/>
        </w:rPr>
      </w:pPr>
      <w:r>
        <w:rPr>
          <w:rFonts w:asciiTheme="minorHAnsi" w:hAnsiTheme="minorHAnsi" w:cstheme="minorHAnsi"/>
          <w:sz w:val="22"/>
          <w:szCs w:val="22"/>
        </w:rPr>
        <w:t>Les emplois ainsi créés peuvent donner lieu à nomination ou engagement à titre définitif hormis ceux visés au 4 ° et 5 ° du précédent alinéa. Les modalités de transfert de périodes-professeurs à un Centre PMS ou à un établissement de l’Enseignement Secondaire Artistique à Horaire Réduit sont reprises dans l’encadré ci-dessous.</w:t>
      </w:r>
    </w:p>
    <w:p>
      <w:pPr>
        <w:pStyle w:val="Default"/>
        <w:tabs>
          <w:tab w:val="left" w:pos="284"/>
        </w:tabs>
        <w:spacing w:after="240"/>
        <w:jc w:val="both"/>
        <w:rPr>
          <w:rFonts w:asciiTheme="minorHAnsi" w:hAnsiTheme="minorHAnsi" w:cstheme="minorHAnsi"/>
          <w:sz w:val="22"/>
          <w:szCs w:val="22"/>
        </w:rPr>
      </w:pPr>
    </w:p>
    <w:p>
      <w:pPr>
        <w:pStyle w:val="Default"/>
        <w:tabs>
          <w:tab w:val="left" w:pos="284"/>
        </w:tabs>
        <w:spacing w:after="240"/>
        <w:jc w:val="both"/>
        <w:rPr>
          <w:rFonts w:asciiTheme="minorHAnsi" w:hAnsiTheme="minorHAnsi" w:cstheme="minorHAnsi"/>
          <w:sz w:val="22"/>
          <w:szCs w:val="22"/>
        </w:rPr>
      </w:pPr>
      <w:r>
        <w:rPr>
          <w:rFonts w:asciiTheme="minorHAnsi" w:hAnsiTheme="minorHAnsi" w:cstheme="minorHAnsi"/>
          <w:sz w:val="22"/>
          <w:szCs w:val="22"/>
        </w:rPr>
        <w:t>Il ne peut être dérogé au minimum mentionné à l’alinéa 1er, 4 ° que lorsque le nombre de périodes-professeur obtenu est inférieur à 6.</w:t>
      </w:r>
    </w:p>
    <w:p>
      <w:pPr>
        <w:pStyle w:val="Default"/>
        <w:tabs>
          <w:tab w:val="left" w:pos="284"/>
        </w:tabs>
        <w:spacing w:after="240"/>
        <w:jc w:val="both"/>
        <w:rPr>
          <w:rFonts w:asciiTheme="minorHAnsi" w:hAnsiTheme="minorHAnsi" w:cstheme="minorHAnsi"/>
          <w:sz w:val="22"/>
          <w:szCs w:val="22"/>
        </w:rPr>
      </w:pPr>
      <w:r>
        <w:rPr>
          <w:rFonts w:asciiTheme="minorHAnsi" w:hAnsiTheme="minorHAnsi" w:cstheme="minorHAnsi"/>
          <w:sz w:val="22"/>
          <w:szCs w:val="22"/>
        </w:rPr>
        <w:t>Complémentairement à l’organisation d’une classe « DASPA », de manière à renforcer la maîtrise des apprentissages de base, et de la langue française en particulier, par tous les élèves, les moyens d’encadrement octroyés dans le cadre de l’encadrement différencié peuvent notamment être utilisés sous la forme de périodes et/ou de classes plus spécifiquement dédiées à l’adaptation à la langue française pour les élèves qui ne maîtrisent pas suffisamment celle-ci afin de leur permettre de s’adapter avec succès aux activités de la classe dans laquelle ils sont inscrits. Le cas échéant, une telle activité pédagogique peut être organisée au-delà de l’horaire hebdomadaire de l’élève.</w:t>
      </w:r>
    </w:p>
    <w:p>
      <w:pPr>
        <w:pStyle w:val="Default"/>
        <w:tabs>
          <w:tab w:val="left" w:pos="284"/>
        </w:tabs>
        <w:spacing w:after="240"/>
        <w:jc w:val="both"/>
        <w:rPr>
          <w:rFonts w:asciiTheme="minorHAnsi" w:hAnsiTheme="minorHAnsi" w:cstheme="minorHAnsi"/>
          <w:sz w:val="22"/>
          <w:szCs w:val="22"/>
        </w:rPr>
      </w:pPr>
    </w:p>
    <w:p>
      <w:pPr>
        <w:pStyle w:val="Default"/>
        <w:tabs>
          <w:tab w:val="left" w:pos="284"/>
        </w:tabs>
        <w:spacing w:after="240"/>
        <w:jc w:val="both"/>
        <w:rPr>
          <w:rFonts w:asciiTheme="minorHAnsi" w:hAnsiTheme="minorHAnsi" w:cstheme="minorHAnsi"/>
          <w:sz w:val="22"/>
          <w:szCs w:val="22"/>
        </w:rPr>
      </w:pPr>
    </w:p>
    <w:p>
      <w:pPr>
        <w:pStyle w:val="Default"/>
        <w:tabs>
          <w:tab w:val="left" w:pos="284"/>
        </w:tabs>
        <w:spacing w:after="240"/>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9210"/>
      </w:tblGrid>
      <w:tr>
        <w:tc>
          <w:tcPr>
            <w:tcW w:w="9210" w:type="dxa"/>
            <w:shd w:val="clear" w:color="auto" w:fill="F2F2F2" w:themeFill="background1" w:themeFillShade="F2"/>
          </w:tcPr>
          <w:p>
            <w:pPr>
              <w:spacing w:before="120" w:after="240"/>
              <w:ind w:left="214" w:right="213"/>
              <w:jc w:val="both"/>
              <w:rPr>
                <w:rFonts w:asciiTheme="minorHAnsi" w:hAnsiTheme="minorHAnsi" w:cstheme="minorHAnsi"/>
                <w:b/>
                <w:bCs/>
                <w:sz w:val="22"/>
                <w:szCs w:val="28"/>
                <w:u w:val="single"/>
              </w:rPr>
            </w:pPr>
          </w:p>
          <w:p>
            <w:pPr>
              <w:spacing w:before="120" w:after="240"/>
              <w:ind w:left="214" w:right="213"/>
              <w:jc w:val="both"/>
              <w:rPr>
                <w:rFonts w:asciiTheme="minorHAnsi" w:hAnsiTheme="minorHAnsi" w:cstheme="minorHAnsi"/>
                <w:b/>
                <w:bCs/>
                <w:sz w:val="22"/>
                <w:szCs w:val="28"/>
                <w:u w:val="single"/>
              </w:rPr>
            </w:pPr>
            <w:r>
              <w:rPr>
                <w:rFonts w:asciiTheme="minorHAnsi" w:hAnsiTheme="minorHAnsi" w:cstheme="minorHAnsi"/>
                <w:b/>
                <w:bCs/>
                <w:sz w:val="22"/>
                <w:szCs w:val="28"/>
                <w:u w:val="single"/>
              </w:rPr>
              <w:t>Modalités de transfert de périodes-professeurs à un centre PMS ou à un établissement de l’Enseignement Secondaire Artistique à Horaire Réduit (ESAHR).</w:t>
            </w:r>
          </w:p>
          <w:p>
            <w:pPr>
              <w:pStyle w:val="Default"/>
              <w:numPr>
                <w:ilvl w:val="0"/>
                <w:numId w:val="18"/>
              </w:numPr>
              <w:spacing w:after="120"/>
              <w:ind w:right="205" w:hanging="198"/>
              <w:jc w:val="both"/>
              <w:rPr>
                <w:rFonts w:asciiTheme="minorHAnsi" w:hAnsiTheme="minorHAnsi" w:cstheme="minorHAnsi"/>
                <w:sz w:val="23"/>
                <w:szCs w:val="23"/>
              </w:rPr>
            </w:pPr>
            <w:r>
              <w:rPr>
                <w:rFonts w:asciiTheme="minorHAnsi" w:hAnsiTheme="minorHAnsi" w:cstheme="minorHAnsi"/>
                <w:sz w:val="23"/>
                <w:szCs w:val="23"/>
              </w:rPr>
              <w:t>Le nombre de périodes-professeurs mobilisées afin de permettre l’engagement d’un membre du personnel temporaire d’un Centre PMS ou d’un établissement de l’ESAHR, en vertu respectivement des dispositions de l’article 10, §1</w:t>
            </w:r>
            <w:r>
              <w:rPr>
                <w:rFonts w:asciiTheme="minorHAnsi" w:hAnsiTheme="minorHAnsi" w:cstheme="minorHAnsi"/>
                <w:sz w:val="23"/>
                <w:szCs w:val="23"/>
                <w:vertAlign w:val="superscript"/>
              </w:rPr>
              <w:t>er</w:t>
            </w:r>
            <w:r>
              <w:rPr>
                <w:rFonts w:asciiTheme="minorHAnsi" w:hAnsiTheme="minorHAnsi" w:cstheme="minorHAnsi"/>
                <w:sz w:val="23"/>
                <w:szCs w:val="23"/>
              </w:rPr>
              <w:t>, 4 ° et 5 ° du décret du 30 avril 2009 tel que modifié sera déclaré comme suit :</w:t>
            </w:r>
          </w:p>
          <w:p>
            <w:pPr>
              <w:pStyle w:val="Default"/>
              <w:numPr>
                <w:ilvl w:val="0"/>
                <w:numId w:val="46"/>
              </w:numPr>
              <w:spacing w:after="120"/>
              <w:ind w:right="205"/>
              <w:jc w:val="both"/>
              <w:rPr>
                <w:rFonts w:asciiTheme="minorHAnsi" w:hAnsiTheme="minorHAnsi" w:cstheme="minorHAnsi"/>
                <w:sz w:val="23"/>
                <w:szCs w:val="23"/>
              </w:rPr>
            </w:pPr>
            <w:r>
              <w:rPr>
                <w:rFonts w:asciiTheme="minorHAnsi" w:hAnsiTheme="minorHAnsi" w:cstheme="minorHAnsi"/>
                <w:sz w:val="23"/>
                <w:szCs w:val="23"/>
              </w:rPr>
              <w:t>pour les établissements de l’enseignement organisé par la Fédération Wallonie-Bruxelles, via l’application GOSS (Cadre d’emploi réel)</w:t>
            </w:r>
          </w:p>
          <w:p>
            <w:pPr>
              <w:pStyle w:val="Default"/>
              <w:numPr>
                <w:ilvl w:val="0"/>
                <w:numId w:val="46"/>
              </w:numPr>
              <w:spacing w:after="120"/>
              <w:ind w:left="1054" w:right="205" w:hanging="357"/>
              <w:jc w:val="both"/>
              <w:rPr>
                <w:rFonts w:asciiTheme="minorHAnsi" w:hAnsiTheme="minorHAnsi" w:cstheme="minorHAnsi"/>
                <w:sz w:val="23"/>
                <w:szCs w:val="23"/>
              </w:rPr>
            </w:pPr>
            <w:r>
              <w:rPr>
                <w:rFonts w:asciiTheme="minorHAnsi" w:hAnsiTheme="minorHAnsi" w:cstheme="minorHAnsi"/>
                <w:sz w:val="23"/>
                <w:szCs w:val="23"/>
              </w:rPr>
              <w:t>pour les établissements de l’enseignement subventionné par la Fédération Wallonie-Bruxelles, via le document 2 (NB : les consignes seront données via la circulaire annuelle « Informatisation des dossiers annuels » à paraître prochainement).</w:t>
            </w:r>
          </w:p>
          <w:p>
            <w:pPr>
              <w:pStyle w:val="Default"/>
              <w:numPr>
                <w:ilvl w:val="0"/>
                <w:numId w:val="18"/>
              </w:numPr>
              <w:spacing w:after="120"/>
              <w:ind w:right="204" w:hanging="198"/>
              <w:jc w:val="both"/>
              <w:rPr>
                <w:rFonts w:asciiTheme="minorHAnsi" w:hAnsiTheme="minorHAnsi" w:cstheme="minorHAnsi"/>
                <w:sz w:val="23"/>
                <w:szCs w:val="23"/>
              </w:rPr>
            </w:pPr>
            <w:r>
              <w:rPr>
                <w:rFonts w:asciiTheme="minorHAnsi" w:hAnsiTheme="minorHAnsi" w:cstheme="minorHAnsi"/>
                <w:sz w:val="23"/>
                <w:szCs w:val="23"/>
              </w:rPr>
              <w:t>L’établissement transmettra l’annexe 2 dûment complétée au Centre PMS et/ou à chaque établissement de l’ESAHR partenaire (1 formulaire pour chaque partenaire éventuel), ainsi qu’une copie à la DGEO (voir adresse sur le formulaire). Le Centre PMS ou l’établissement de l’ESAHR joindra cette annexe 2 aux documents qu’il transmettra à la Direction déconcentrée de la Direction générale des personnels en vue de la liquidation mensuelle des traitements ou subventions-traitement des membres du personnel concernés.</w:t>
            </w:r>
          </w:p>
          <w:p>
            <w:pPr>
              <w:pStyle w:val="Default"/>
              <w:spacing w:after="120"/>
              <w:ind w:left="340" w:right="204"/>
              <w:jc w:val="both"/>
              <w:rPr>
                <w:rFonts w:asciiTheme="minorHAnsi" w:hAnsiTheme="minorHAnsi" w:cstheme="minorHAnsi"/>
                <w:sz w:val="23"/>
                <w:szCs w:val="23"/>
                <w:lang w:val="fr-FR" w:eastAsia="fr-FR"/>
              </w:rPr>
            </w:pPr>
          </w:p>
        </w:tc>
      </w:tr>
    </w:tbl>
    <w:p>
      <w:pPr>
        <w:pStyle w:val="Default"/>
        <w:tabs>
          <w:tab w:val="left" w:pos="284"/>
        </w:tabs>
        <w:spacing w:after="240"/>
        <w:jc w:val="both"/>
        <w:rPr>
          <w:rFonts w:asciiTheme="minorHAnsi" w:hAnsiTheme="minorHAnsi" w:cstheme="minorHAnsi"/>
          <w:sz w:val="22"/>
          <w:szCs w:val="22"/>
        </w:rPr>
      </w:pPr>
    </w:p>
    <w:p>
      <w:pPr>
        <w:pStyle w:val="Default"/>
        <w:numPr>
          <w:ilvl w:val="1"/>
          <w:numId w:val="20"/>
        </w:numPr>
        <w:spacing w:after="120"/>
        <w:jc w:val="both"/>
        <w:rPr>
          <w:rFonts w:asciiTheme="minorHAnsi" w:hAnsiTheme="minorHAnsi" w:cstheme="minorHAnsi"/>
          <w:b/>
          <w:bCs/>
          <w:iCs/>
          <w:sz w:val="22"/>
          <w:szCs w:val="22"/>
        </w:rPr>
      </w:pPr>
      <w:r>
        <w:rPr>
          <w:rFonts w:asciiTheme="minorHAnsi" w:hAnsiTheme="minorHAnsi" w:cstheme="minorHAnsi"/>
          <w:b/>
          <w:bCs/>
          <w:iCs/>
          <w:sz w:val="22"/>
          <w:szCs w:val="22"/>
          <w:u w:val="single"/>
        </w:rPr>
        <w:t>Utilisation des moyens de fonctionnement complémentaires</w:t>
      </w:r>
      <w:r>
        <w:rPr>
          <w:rFonts w:asciiTheme="minorHAnsi" w:hAnsiTheme="minorHAnsi" w:cstheme="minorHAnsi"/>
          <w:b/>
          <w:bCs/>
          <w:iCs/>
          <w:sz w:val="22"/>
          <w:szCs w:val="22"/>
        </w:rPr>
        <w:t xml:space="preserve"> : </w:t>
      </w:r>
    </w:p>
    <w:p>
      <w:pPr>
        <w:spacing w:after="120"/>
        <w:jc w:val="both"/>
        <w:rPr>
          <w:rFonts w:asciiTheme="minorHAnsi" w:hAnsiTheme="minorHAnsi" w:cstheme="minorHAnsi"/>
          <w:color w:val="000000"/>
          <w:sz w:val="22"/>
          <w:szCs w:val="22"/>
          <w:lang w:val="fr-BE" w:eastAsia="fr-BE"/>
        </w:rPr>
      </w:pPr>
      <w:r>
        <w:rPr>
          <w:rFonts w:asciiTheme="minorHAnsi" w:hAnsiTheme="minorHAnsi" w:cstheme="minorHAnsi"/>
          <w:color w:val="000000"/>
          <w:sz w:val="22"/>
          <w:szCs w:val="22"/>
          <w:lang w:val="fr-BE" w:eastAsia="fr-BE"/>
        </w:rPr>
        <w:t xml:space="preserve">Conformément à l’article 10, § 2 du décret du 30 avril 2009, les crédits complémentaires octroyés dans l’enseignement secondaire peuvent permettre: </w:t>
      </w:r>
    </w:p>
    <w:p>
      <w:pPr>
        <w:pStyle w:val="Paragraphedeliste"/>
        <w:numPr>
          <w:ilvl w:val="0"/>
          <w:numId w:val="39"/>
        </w:numPr>
        <w:spacing w:after="120"/>
        <w:jc w:val="both"/>
        <w:rPr>
          <w:rFonts w:asciiTheme="minorHAnsi" w:hAnsiTheme="minorHAnsi" w:cstheme="minorHAnsi"/>
          <w:color w:val="000000"/>
          <w:sz w:val="22"/>
          <w:szCs w:val="22"/>
          <w:lang w:val="fr-BE" w:eastAsia="fr-BE"/>
        </w:rPr>
      </w:pPr>
      <w:r>
        <w:rPr>
          <w:rFonts w:asciiTheme="minorHAnsi" w:hAnsiTheme="minorHAnsi" w:cstheme="minorHAnsi"/>
          <w:color w:val="000000"/>
          <w:sz w:val="22"/>
          <w:szCs w:val="22"/>
          <w:lang w:val="fr-BE" w:eastAsia="fr-BE"/>
        </w:rPr>
        <w:t xml:space="preserve">L'engagement de personnel non enseignant, notamment sous contrat de travail à durée déterminée, sous contrat de prestation de services ou sous contrat de collaboration, notamment: </w:t>
      </w:r>
    </w:p>
    <w:p>
      <w:pPr>
        <w:pStyle w:val="Paragraphedeliste"/>
        <w:numPr>
          <w:ilvl w:val="0"/>
          <w:numId w:val="40"/>
        </w:numPr>
        <w:spacing w:after="120"/>
        <w:jc w:val="both"/>
        <w:rPr>
          <w:rFonts w:asciiTheme="minorHAnsi" w:hAnsiTheme="minorHAnsi" w:cstheme="minorHAnsi"/>
          <w:color w:val="000000"/>
          <w:sz w:val="22"/>
          <w:szCs w:val="22"/>
          <w:lang w:val="fr-BE" w:eastAsia="fr-BE"/>
        </w:rPr>
      </w:pPr>
      <w:r>
        <w:rPr>
          <w:rFonts w:asciiTheme="minorHAnsi" w:hAnsiTheme="minorHAnsi" w:cstheme="minorHAnsi"/>
          <w:color w:val="000000"/>
          <w:sz w:val="22"/>
          <w:szCs w:val="22"/>
          <w:lang w:val="fr-BE" w:eastAsia="fr-BE"/>
        </w:rPr>
        <w:t xml:space="preserve">Des logopèdes ; </w:t>
      </w:r>
    </w:p>
    <w:p>
      <w:pPr>
        <w:pStyle w:val="Paragraphedeliste"/>
        <w:numPr>
          <w:ilvl w:val="0"/>
          <w:numId w:val="40"/>
        </w:numPr>
        <w:spacing w:after="120"/>
        <w:jc w:val="both"/>
        <w:rPr>
          <w:rFonts w:asciiTheme="minorHAnsi" w:hAnsiTheme="minorHAnsi" w:cstheme="minorHAnsi"/>
          <w:color w:val="000000"/>
          <w:sz w:val="22"/>
          <w:szCs w:val="22"/>
          <w:lang w:val="fr-BE" w:eastAsia="fr-BE"/>
        </w:rPr>
      </w:pPr>
      <w:r>
        <w:rPr>
          <w:rFonts w:asciiTheme="minorHAnsi" w:hAnsiTheme="minorHAnsi" w:cstheme="minorHAnsi"/>
          <w:color w:val="000000"/>
          <w:sz w:val="22"/>
          <w:szCs w:val="22"/>
          <w:lang w:val="fr-BE" w:eastAsia="fr-BE"/>
        </w:rPr>
        <w:t xml:space="preserve">Du personnel chargé de l’encadrement des élèves en dehors des heures de cours, en ce compris de l’étude dirigée ; </w:t>
      </w:r>
    </w:p>
    <w:p>
      <w:pPr>
        <w:pStyle w:val="Paragraphedeliste"/>
        <w:numPr>
          <w:ilvl w:val="0"/>
          <w:numId w:val="40"/>
        </w:numPr>
        <w:spacing w:after="120"/>
        <w:jc w:val="both"/>
        <w:rPr>
          <w:rFonts w:asciiTheme="minorHAnsi" w:hAnsiTheme="minorHAnsi" w:cstheme="minorHAnsi"/>
          <w:color w:val="000000"/>
          <w:sz w:val="22"/>
          <w:szCs w:val="22"/>
          <w:lang w:val="fr-BE" w:eastAsia="fr-BE"/>
        </w:rPr>
      </w:pPr>
      <w:r>
        <w:rPr>
          <w:rFonts w:asciiTheme="minorHAnsi" w:hAnsiTheme="minorHAnsi" w:cstheme="minorHAnsi"/>
          <w:color w:val="000000"/>
          <w:sz w:val="22"/>
          <w:szCs w:val="22"/>
          <w:lang w:val="fr-BE" w:eastAsia="fr-BE"/>
        </w:rPr>
        <w:t xml:space="preserve">Des associations ou des organismes pédagogiques, éducatifs, culturels et sportifs ; </w:t>
      </w:r>
    </w:p>
    <w:p>
      <w:pPr>
        <w:pStyle w:val="Paragraphedeliste"/>
        <w:numPr>
          <w:ilvl w:val="0"/>
          <w:numId w:val="40"/>
        </w:numPr>
        <w:spacing w:after="120"/>
        <w:jc w:val="both"/>
        <w:rPr>
          <w:rFonts w:asciiTheme="minorHAnsi" w:hAnsiTheme="minorHAnsi" w:cstheme="minorHAnsi"/>
          <w:color w:val="000000"/>
          <w:sz w:val="22"/>
          <w:szCs w:val="22"/>
          <w:lang w:val="fr-BE" w:eastAsia="fr-BE"/>
        </w:rPr>
      </w:pPr>
      <w:r>
        <w:rPr>
          <w:rFonts w:asciiTheme="minorHAnsi" w:hAnsiTheme="minorHAnsi" w:cstheme="minorHAnsi"/>
          <w:color w:val="000000"/>
          <w:sz w:val="22"/>
          <w:szCs w:val="22"/>
          <w:lang w:val="fr-BE" w:eastAsia="fr-BE"/>
        </w:rPr>
        <w:t xml:space="preserve">Des médiateurs ; </w:t>
      </w:r>
    </w:p>
    <w:p>
      <w:pPr>
        <w:pStyle w:val="Paragraphedeliste"/>
        <w:numPr>
          <w:ilvl w:val="0"/>
          <w:numId w:val="40"/>
        </w:numPr>
        <w:spacing w:after="80"/>
        <w:ind w:left="714" w:hanging="357"/>
        <w:contextualSpacing w:val="0"/>
        <w:jc w:val="both"/>
        <w:rPr>
          <w:rFonts w:asciiTheme="minorHAnsi" w:hAnsiTheme="minorHAnsi" w:cstheme="minorHAnsi"/>
          <w:color w:val="000000"/>
          <w:sz w:val="22"/>
          <w:szCs w:val="22"/>
          <w:lang w:val="fr-BE" w:eastAsia="fr-BE"/>
        </w:rPr>
      </w:pPr>
      <w:r>
        <w:rPr>
          <w:rFonts w:asciiTheme="minorHAnsi" w:hAnsiTheme="minorHAnsi" w:cstheme="minorHAnsi"/>
          <w:color w:val="000000"/>
          <w:sz w:val="22"/>
          <w:szCs w:val="22"/>
          <w:lang w:val="fr-BE" w:eastAsia="fr-BE"/>
        </w:rPr>
        <w:t>Des bibliothécaires et responsables multimédias.</w:t>
      </w:r>
    </w:p>
    <w:p>
      <w:pPr>
        <w:pStyle w:val="Paragraphedeliste"/>
        <w:numPr>
          <w:ilvl w:val="0"/>
          <w:numId w:val="39"/>
        </w:numPr>
        <w:spacing w:after="120"/>
        <w:jc w:val="both"/>
        <w:rPr>
          <w:rFonts w:asciiTheme="minorHAnsi" w:hAnsiTheme="minorHAnsi" w:cstheme="minorHAnsi"/>
          <w:color w:val="000000"/>
          <w:sz w:val="22"/>
          <w:szCs w:val="22"/>
          <w:lang w:val="fr-BE" w:eastAsia="fr-BE"/>
        </w:rPr>
      </w:pPr>
      <w:r>
        <w:rPr>
          <w:rFonts w:asciiTheme="minorHAnsi" w:hAnsiTheme="minorHAnsi" w:cstheme="minorHAnsi"/>
          <w:color w:val="000000"/>
          <w:sz w:val="22"/>
          <w:szCs w:val="22"/>
          <w:lang w:val="fr-BE" w:eastAsia="fr-BE"/>
        </w:rPr>
        <w:t xml:space="preserve">L’engagement d’agents contractuels subventionnés, en collaboration avec les régions, notamment : </w:t>
      </w:r>
    </w:p>
    <w:p>
      <w:pPr>
        <w:pStyle w:val="Paragraphedeliste"/>
        <w:numPr>
          <w:ilvl w:val="0"/>
          <w:numId w:val="42"/>
        </w:numPr>
        <w:spacing w:after="120"/>
        <w:jc w:val="both"/>
        <w:rPr>
          <w:rFonts w:asciiTheme="minorHAnsi" w:hAnsiTheme="minorHAnsi" w:cstheme="minorHAnsi"/>
          <w:color w:val="000000"/>
          <w:sz w:val="22"/>
          <w:szCs w:val="22"/>
          <w:lang w:val="fr-BE" w:eastAsia="fr-BE"/>
        </w:rPr>
      </w:pPr>
      <w:r>
        <w:rPr>
          <w:rFonts w:asciiTheme="minorHAnsi" w:hAnsiTheme="minorHAnsi" w:cstheme="minorHAnsi"/>
          <w:color w:val="000000"/>
          <w:sz w:val="22"/>
          <w:szCs w:val="22"/>
          <w:lang w:val="fr-BE" w:eastAsia="fr-BE"/>
        </w:rPr>
        <w:t xml:space="preserve">Des enseignants ; </w:t>
      </w:r>
    </w:p>
    <w:p>
      <w:pPr>
        <w:pStyle w:val="Paragraphedeliste"/>
        <w:numPr>
          <w:ilvl w:val="0"/>
          <w:numId w:val="42"/>
        </w:numPr>
        <w:spacing w:after="120"/>
        <w:jc w:val="both"/>
        <w:rPr>
          <w:rFonts w:asciiTheme="minorHAnsi" w:hAnsiTheme="minorHAnsi" w:cstheme="minorHAnsi"/>
          <w:color w:val="000000"/>
          <w:sz w:val="22"/>
          <w:szCs w:val="22"/>
          <w:lang w:val="fr-BE" w:eastAsia="fr-BE"/>
        </w:rPr>
      </w:pPr>
      <w:r>
        <w:rPr>
          <w:rFonts w:asciiTheme="minorHAnsi" w:hAnsiTheme="minorHAnsi" w:cstheme="minorHAnsi"/>
          <w:color w:val="000000"/>
          <w:sz w:val="22"/>
          <w:szCs w:val="22"/>
          <w:lang w:val="fr-BE" w:eastAsia="fr-BE"/>
        </w:rPr>
        <w:t xml:space="preserve">Des éducateurs ; </w:t>
      </w:r>
    </w:p>
    <w:p>
      <w:pPr>
        <w:pStyle w:val="Paragraphedeliste"/>
        <w:numPr>
          <w:ilvl w:val="0"/>
          <w:numId w:val="42"/>
        </w:numPr>
        <w:spacing w:after="120"/>
        <w:jc w:val="both"/>
        <w:rPr>
          <w:rFonts w:asciiTheme="minorHAnsi" w:hAnsiTheme="minorHAnsi" w:cstheme="minorHAnsi"/>
          <w:color w:val="000000"/>
          <w:sz w:val="22"/>
          <w:szCs w:val="22"/>
          <w:lang w:val="fr-BE" w:eastAsia="fr-BE"/>
        </w:rPr>
      </w:pPr>
      <w:r>
        <w:rPr>
          <w:rFonts w:asciiTheme="minorHAnsi" w:hAnsiTheme="minorHAnsi" w:cstheme="minorHAnsi"/>
          <w:color w:val="000000"/>
          <w:sz w:val="22"/>
          <w:szCs w:val="22"/>
          <w:lang w:val="fr-BE" w:eastAsia="fr-BE"/>
        </w:rPr>
        <w:t xml:space="preserve">Des assistants sociaux ; </w:t>
      </w:r>
    </w:p>
    <w:p>
      <w:pPr>
        <w:pStyle w:val="Paragraphedeliste"/>
        <w:numPr>
          <w:ilvl w:val="0"/>
          <w:numId w:val="42"/>
        </w:numPr>
        <w:spacing w:after="120"/>
        <w:jc w:val="both"/>
        <w:rPr>
          <w:rFonts w:asciiTheme="minorHAnsi" w:hAnsiTheme="minorHAnsi" w:cstheme="minorHAnsi"/>
          <w:color w:val="000000"/>
          <w:sz w:val="22"/>
          <w:szCs w:val="22"/>
          <w:lang w:val="fr-BE" w:eastAsia="fr-BE"/>
        </w:rPr>
      </w:pPr>
      <w:r>
        <w:rPr>
          <w:rFonts w:asciiTheme="minorHAnsi" w:hAnsiTheme="minorHAnsi" w:cstheme="minorHAnsi"/>
          <w:color w:val="000000"/>
          <w:sz w:val="22"/>
          <w:szCs w:val="22"/>
          <w:lang w:val="fr-BE" w:eastAsia="fr-BE"/>
        </w:rPr>
        <w:t xml:space="preserve">Des bibliothécaires, des spécialistes des médias, de l’audiovisuel et de l’animation socio-culturelle ; </w:t>
      </w:r>
    </w:p>
    <w:p>
      <w:pPr>
        <w:pStyle w:val="Paragraphedeliste"/>
        <w:numPr>
          <w:ilvl w:val="0"/>
          <w:numId w:val="42"/>
        </w:numPr>
        <w:spacing w:after="120"/>
        <w:jc w:val="both"/>
        <w:rPr>
          <w:rFonts w:asciiTheme="minorHAnsi" w:hAnsiTheme="minorHAnsi" w:cstheme="minorHAnsi"/>
          <w:color w:val="000000"/>
          <w:sz w:val="22"/>
          <w:szCs w:val="22"/>
          <w:lang w:val="fr-BE" w:eastAsia="fr-BE"/>
        </w:rPr>
      </w:pPr>
      <w:r>
        <w:rPr>
          <w:rFonts w:asciiTheme="minorHAnsi" w:hAnsiTheme="minorHAnsi" w:cstheme="minorHAnsi"/>
          <w:color w:val="000000"/>
          <w:sz w:val="22"/>
          <w:szCs w:val="22"/>
          <w:lang w:val="fr-BE" w:eastAsia="fr-BE"/>
        </w:rPr>
        <w:t xml:space="preserve">Des logopèdes ; </w:t>
      </w:r>
    </w:p>
    <w:p>
      <w:pPr>
        <w:pStyle w:val="Paragraphedeliste"/>
        <w:numPr>
          <w:ilvl w:val="0"/>
          <w:numId w:val="42"/>
        </w:numPr>
        <w:spacing w:after="120"/>
        <w:jc w:val="both"/>
        <w:rPr>
          <w:rFonts w:asciiTheme="minorHAnsi" w:hAnsiTheme="minorHAnsi" w:cstheme="minorHAnsi"/>
          <w:color w:val="000000"/>
          <w:sz w:val="22"/>
          <w:szCs w:val="22"/>
          <w:lang w:val="fr-BE" w:eastAsia="fr-BE"/>
        </w:rPr>
      </w:pPr>
      <w:r>
        <w:rPr>
          <w:rFonts w:asciiTheme="minorHAnsi" w:hAnsiTheme="minorHAnsi" w:cstheme="minorHAnsi"/>
          <w:color w:val="000000"/>
          <w:sz w:val="22"/>
          <w:szCs w:val="22"/>
          <w:lang w:val="fr-BE" w:eastAsia="fr-BE"/>
        </w:rPr>
        <w:t xml:space="preserve">Des médiateurs ; </w:t>
      </w:r>
    </w:p>
    <w:p>
      <w:pPr>
        <w:pStyle w:val="Paragraphedeliste"/>
        <w:numPr>
          <w:ilvl w:val="0"/>
          <w:numId w:val="42"/>
        </w:numPr>
        <w:spacing w:after="80"/>
        <w:ind w:left="714" w:hanging="357"/>
        <w:contextualSpacing w:val="0"/>
        <w:jc w:val="both"/>
        <w:rPr>
          <w:rFonts w:asciiTheme="minorHAnsi" w:hAnsiTheme="minorHAnsi" w:cstheme="minorHAnsi"/>
          <w:color w:val="000000"/>
          <w:sz w:val="22"/>
          <w:szCs w:val="22"/>
          <w:lang w:val="fr-BE" w:eastAsia="fr-BE"/>
        </w:rPr>
      </w:pPr>
      <w:r>
        <w:rPr>
          <w:rFonts w:asciiTheme="minorHAnsi" w:hAnsiTheme="minorHAnsi" w:cstheme="minorHAnsi"/>
          <w:color w:val="000000"/>
          <w:sz w:val="22"/>
          <w:szCs w:val="22"/>
          <w:lang w:val="fr-BE" w:eastAsia="fr-BE"/>
        </w:rPr>
        <w:t xml:space="preserve">Des bibliothécaires et responsables multimédias. </w:t>
      </w:r>
    </w:p>
    <w:p>
      <w:pPr>
        <w:pStyle w:val="Paragraphedeliste"/>
        <w:numPr>
          <w:ilvl w:val="0"/>
          <w:numId w:val="39"/>
        </w:numPr>
        <w:spacing w:after="120"/>
        <w:jc w:val="both"/>
        <w:rPr>
          <w:rFonts w:asciiTheme="minorHAnsi" w:hAnsiTheme="minorHAnsi" w:cstheme="minorHAnsi"/>
          <w:color w:val="000000"/>
          <w:sz w:val="22"/>
          <w:szCs w:val="22"/>
          <w:lang w:val="fr-BE" w:eastAsia="fr-BE"/>
        </w:rPr>
      </w:pPr>
      <w:r>
        <w:rPr>
          <w:rFonts w:asciiTheme="minorHAnsi" w:hAnsiTheme="minorHAnsi" w:cstheme="minorHAnsi"/>
          <w:color w:val="000000"/>
          <w:sz w:val="22"/>
          <w:szCs w:val="22"/>
          <w:lang w:val="fr-BE" w:eastAsia="fr-BE"/>
        </w:rPr>
        <w:t xml:space="preserve">L’engagement de personnel non enseignant sous contrat de travail dans le cadre d’un programme de transition professionnelle, en collaboration avec les régions, notamment : </w:t>
      </w:r>
    </w:p>
    <w:p>
      <w:pPr>
        <w:pStyle w:val="Paragraphedeliste"/>
        <w:numPr>
          <w:ilvl w:val="0"/>
          <w:numId w:val="44"/>
        </w:numPr>
        <w:spacing w:after="120"/>
        <w:jc w:val="both"/>
        <w:rPr>
          <w:rFonts w:asciiTheme="minorHAnsi" w:hAnsiTheme="minorHAnsi" w:cstheme="minorHAnsi"/>
          <w:color w:val="000000"/>
          <w:sz w:val="22"/>
          <w:szCs w:val="22"/>
          <w:lang w:val="fr-BE" w:eastAsia="fr-BE"/>
        </w:rPr>
      </w:pPr>
      <w:r>
        <w:rPr>
          <w:rFonts w:asciiTheme="minorHAnsi" w:hAnsiTheme="minorHAnsi" w:cstheme="minorHAnsi"/>
          <w:color w:val="000000"/>
          <w:sz w:val="22"/>
          <w:szCs w:val="22"/>
          <w:lang w:val="fr-BE" w:eastAsia="fr-BE"/>
        </w:rPr>
        <w:t xml:space="preserve">du personnel chargé de travaux d’embellissement, d’aménagement et de réhabilitation légère de locaux ou des abords, tels que des travaux de peinture et de menuiserie </w:t>
      </w:r>
    </w:p>
    <w:p>
      <w:pPr>
        <w:pStyle w:val="Paragraphedeliste"/>
        <w:numPr>
          <w:ilvl w:val="0"/>
          <w:numId w:val="44"/>
        </w:numPr>
        <w:spacing w:after="80"/>
        <w:ind w:left="714" w:hanging="357"/>
        <w:contextualSpacing w:val="0"/>
        <w:jc w:val="both"/>
        <w:rPr>
          <w:rFonts w:asciiTheme="minorHAnsi" w:hAnsiTheme="minorHAnsi" w:cstheme="minorHAnsi"/>
          <w:color w:val="000000"/>
          <w:sz w:val="22"/>
          <w:szCs w:val="22"/>
          <w:lang w:val="fr-BE" w:eastAsia="fr-BE"/>
        </w:rPr>
      </w:pPr>
      <w:r>
        <w:rPr>
          <w:rFonts w:asciiTheme="minorHAnsi" w:hAnsiTheme="minorHAnsi" w:cstheme="minorHAnsi"/>
          <w:color w:val="000000"/>
          <w:sz w:val="22"/>
          <w:szCs w:val="22"/>
          <w:lang w:val="fr-BE" w:eastAsia="fr-BE"/>
        </w:rPr>
        <w:t xml:space="preserve">du personnel chargé d’apporter un soutien à l’équipe éducative </w:t>
      </w:r>
    </w:p>
    <w:p>
      <w:pPr>
        <w:pStyle w:val="Paragraphedeliste"/>
        <w:numPr>
          <w:ilvl w:val="0"/>
          <w:numId w:val="39"/>
        </w:numPr>
        <w:spacing w:after="120"/>
        <w:contextualSpacing w:val="0"/>
        <w:jc w:val="both"/>
        <w:rPr>
          <w:rFonts w:asciiTheme="minorHAnsi" w:hAnsiTheme="minorHAnsi" w:cstheme="minorHAnsi"/>
          <w:color w:val="000000"/>
          <w:sz w:val="22"/>
          <w:szCs w:val="22"/>
          <w:lang w:val="fr-BE" w:eastAsia="fr-BE"/>
        </w:rPr>
      </w:pPr>
      <w:r>
        <w:rPr>
          <w:rFonts w:asciiTheme="minorHAnsi" w:hAnsiTheme="minorHAnsi" w:cstheme="minorHAnsi"/>
          <w:color w:val="000000"/>
          <w:sz w:val="22"/>
          <w:szCs w:val="22"/>
          <w:lang w:val="fr-BE" w:eastAsia="fr-BE"/>
        </w:rPr>
        <w:t>Le remplacement des enseignants des deux premières années de l’enseignement secondaire dans le cadre de la formation continuée, notamment par l’organisation d’activités à caractère socioculturel visées par le décret du 11 juillet 2002 relatif à la formation en cours de carrière dans l’enseignement spécialisé, l’enseignement secondaire ordinaire et les centres psycho-médico-sociaux et à la création d’un institut de la formation en cours de carrière.</w:t>
      </w:r>
    </w:p>
    <w:p>
      <w:pPr>
        <w:pStyle w:val="Paragraphedeliste"/>
        <w:numPr>
          <w:ilvl w:val="0"/>
          <w:numId w:val="39"/>
        </w:numPr>
        <w:spacing w:after="120"/>
        <w:contextualSpacing w:val="0"/>
        <w:jc w:val="both"/>
        <w:rPr>
          <w:rFonts w:asciiTheme="minorHAnsi" w:hAnsiTheme="minorHAnsi" w:cstheme="minorHAnsi"/>
          <w:color w:val="000000"/>
          <w:sz w:val="22"/>
          <w:szCs w:val="22"/>
          <w:lang w:val="fr-BE" w:eastAsia="fr-BE"/>
        </w:rPr>
      </w:pPr>
      <w:r>
        <w:rPr>
          <w:rFonts w:asciiTheme="minorHAnsi" w:hAnsiTheme="minorHAnsi" w:cstheme="minorHAnsi"/>
          <w:color w:val="000000"/>
          <w:sz w:val="22"/>
          <w:szCs w:val="22"/>
          <w:lang w:val="fr-BE" w:eastAsia="fr-BE"/>
        </w:rPr>
        <w:t xml:space="preserve">L’organisation et la participation de membres de l’équipe éducative, ainsi que leur remplacement éventuel s’il s’agit d’enseignants, dans ou en dehors de l’implantation, à des formations et séminaires spécifiques dans les domaines suivants : remédiation immédiate et mise en œuvre de pédagogies différenciées en cas de difficultés scolaires, adaptation à la langue française par les élèves qui ne maîtrisent pas suffisamment celle-ci, hétérogénéité des publics scolaires, interculturalité, renforcement des relations « familles-école », gestion et prévention du décrochage scolaire, gestion et prévention des conflits et des phénomènes de violence. </w:t>
      </w:r>
    </w:p>
    <w:p>
      <w:pPr>
        <w:pStyle w:val="Paragraphedeliste"/>
        <w:numPr>
          <w:ilvl w:val="0"/>
          <w:numId w:val="39"/>
        </w:numPr>
        <w:spacing w:after="120"/>
        <w:contextualSpacing w:val="0"/>
        <w:jc w:val="both"/>
        <w:rPr>
          <w:rFonts w:asciiTheme="minorHAnsi" w:hAnsiTheme="minorHAnsi" w:cstheme="minorHAnsi"/>
          <w:color w:val="000000"/>
          <w:sz w:val="22"/>
          <w:szCs w:val="22"/>
          <w:lang w:val="fr-BE" w:eastAsia="fr-BE"/>
        </w:rPr>
      </w:pPr>
      <w:r>
        <w:rPr>
          <w:rFonts w:asciiTheme="minorHAnsi" w:hAnsiTheme="minorHAnsi" w:cstheme="minorHAnsi"/>
          <w:color w:val="000000"/>
          <w:sz w:val="22"/>
          <w:szCs w:val="22"/>
          <w:lang w:val="fr-BE" w:eastAsia="fr-BE"/>
        </w:rPr>
        <w:t xml:space="preserve">Des actions en commun, notamment dans le cadre de la mise en œuvre des articles 6 et 8, 9 ° et 10 °, du décret du 24 juillet 1997 définissant les missions prioritaires de l’enseignement fondamental et de l’enseignement secondaire et organisant les structures propres à les atteindre, avec les services du secteur de l'Aide à la jeunesse fixés à l'article 1erdu décret du 4 mars 1991 relatif à l'Aide à la jeunesse, et plus spécifiquement les services d'aide en milieu ouvert agréés en application de l'Arrêté du 15 mars 1999 relatif aux conditions particulières d'agrément et d'octroi des subventions pour les services d'aide en milieu ouvert. </w:t>
      </w:r>
    </w:p>
    <w:p>
      <w:pPr>
        <w:pStyle w:val="Paragraphedeliste"/>
        <w:numPr>
          <w:ilvl w:val="0"/>
          <w:numId w:val="39"/>
        </w:numPr>
        <w:spacing w:after="120"/>
        <w:contextualSpacing w:val="0"/>
        <w:jc w:val="both"/>
        <w:rPr>
          <w:rFonts w:asciiTheme="minorHAnsi" w:hAnsiTheme="minorHAnsi" w:cstheme="minorHAnsi"/>
          <w:color w:val="000000"/>
          <w:sz w:val="22"/>
          <w:szCs w:val="22"/>
          <w:lang w:val="fr-BE" w:eastAsia="fr-BE"/>
        </w:rPr>
      </w:pPr>
      <w:r>
        <w:rPr>
          <w:rFonts w:asciiTheme="minorHAnsi" w:hAnsiTheme="minorHAnsi" w:cstheme="minorHAnsi"/>
          <w:color w:val="000000"/>
          <w:sz w:val="22"/>
          <w:szCs w:val="22"/>
          <w:lang w:val="fr-BE" w:eastAsia="fr-BE"/>
        </w:rPr>
        <w:t xml:space="preserve">Au bénéfice des élèves de l’implantation, la création d’espaces de rencontres, l’installation et le fonctionnement de bibliothèques, de centres de documentation et de ressources multimédias, l’achat de livres, de manuels scolaires, de journaux, de revues et périodiques, de logiciels scolaires et d’autres supports d’information. </w:t>
      </w:r>
    </w:p>
    <w:p>
      <w:pPr>
        <w:pStyle w:val="Paragraphedeliste"/>
        <w:numPr>
          <w:ilvl w:val="0"/>
          <w:numId w:val="39"/>
        </w:numPr>
        <w:spacing w:after="120"/>
        <w:contextualSpacing w:val="0"/>
        <w:jc w:val="both"/>
        <w:rPr>
          <w:rFonts w:asciiTheme="minorHAnsi" w:hAnsiTheme="minorHAnsi" w:cstheme="minorHAnsi"/>
          <w:color w:val="000000"/>
          <w:sz w:val="22"/>
          <w:szCs w:val="22"/>
          <w:lang w:val="fr-BE" w:eastAsia="fr-BE"/>
        </w:rPr>
      </w:pPr>
      <w:r>
        <w:rPr>
          <w:rFonts w:asciiTheme="minorHAnsi" w:hAnsiTheme="minorHAnsi" w:cstheme="minorHAnsi"/>
          <w:color w:val="000000"/>
          <w:sz w:val="22"/>
          <w:szCs w:val="22"/>
          <w:lang w:val="fr-BE" w:eastAsia="fr-BE"/>
        </w:rPr>
        <w:t xml:space="preserve">La prise en charge, tant pour les élèves de l’implantation que pour les membres du personnel accompagnant, des frais de participation aux activités pédagogiques, éducatives, culturelles et sportives, comme notamment les droits d’entrée et de participation, que celles-ci soient organisées dans ou en dehors de l’implantation, le cas échéant en ce compris la prise en charge de frais de déplacement en résultant. </w:t>
      </w:r>
    </w:p>
    <w:p>
      <w:pPr>
        <w:pStyle w:val="Paragraphedeliste"/>
        <w:numPr>
          <w:ilvl w:val="0"/>
          <w:numId w:val="39"/>
        </w:numPr>
        <w:spacing w:after="120"/>
        <w:contextualSpacing w:val="0"/>
        <w:jc w:val="both"/>
        <w:rPr>
          <w:rFonts w:asciiTheme="minorHAnsi" w:hAnsiTheme="minorHAnsi" w:cstheme="minorHAnsi"/>
          <w:color w:val="000000"/>
          <w:sz w:val="22"/>
          <w:szCs w:val="22"/>
          <w:lang w:val="fr-BE" w:eastAsia="fr-BE"/>
        </w:rPr>
      </w:pPr>
      <w:r>
        <w:rPr>
          <w:rFonts w:asciiTheme="minorHAnsi" w:hAnsiTheme="minorHAnsi" w:cstheme="minorHAnsi"/>
          <w:color w:val="000000"/>
          <w:sz w:val="22"/>
          <w:szCs w:val="22"/>
          <w:lang w:val="fr-BE" w:eastAsia="fr-BE"/>
        </w:rPr>
        <w:t>L’aménagement et l’embellissement des locaux ou des abords de l’implantation.</w:t>
      </w:r>
    </w:p>
    <w:p>
      <w:pPr>
        <w:pStyle w:val="Paragraphedeliste"/>
        <w:numPr>
          <w:ilvl w:val="0"/>
          <w:numId w:val="39"/>
        </w:numPr>
        <w:spacing w:after="120"/>
        <w:contextualSpacing w:val="0"/>
        <w:jc w:val="both"/>
        <w:rPr>
          <w:rFonts w:asciiTheme="minorHAnsi" w:hAnsiTheme="minorHAnsi" w:cstheme="minorHAnsi"/>
          <w:color w:val="000000"/>
          <w:sz w:val="22"/>
          <w:szCs w:val="22"/>
          <w:lang w:val="fr-BE" w:eastAsia="fr-BE"/>
        </w:rPr>
      </w:pPr>
      <w:r>
        <w:rPr>
          <w:rFonts w:asciiTheme="minorHAnsi" w:hAnsiTheme="minorHAnsi" w:cstheme="minorHAnsi"/>
          <w:color w:val="000000"/>
          <w:sz w:val="22"/>
          <w:szCs w:val="22"/>
          <w:lang w:val="fr-BE" w:eastAsia="fr-BE"/>
        </w:rPr>
        <w:t>L’achat de matériel destiné spécifiquement à l’implantation.</w:t>
      </w:r>
    </w:p>
    <w:p>
      <w:pPr>
        <w:pStyle w:val="Paragraphedeliste"/>
        <w:numPr>
          <w:ilvl w:val="0"/>
          <w:numId w:val="39"/>
        </w:numPr>
        <w:spacing w:after="120"/>
        <w:contextualSpacing w:val="0"/>
        <w:jc w:val="both"/>
        <w:rPr>
          <w:rFonts w:asciiTheme="minorHAnsi" w:hAnsiTheme="minorHAnsi" w:cstheme="minorHAnsi"/>
          <w:color w:val="000000"/>
          <w:sz w:val="22"/>
          <w:szCs w:val="22"/>
          <w:lang w:val="fr-BE" w:eastAsia="fr-BE"/>
        </w:rPr>
      </w:pPr>
      <w:r>
        <w:rPr>
          <w:rFonts w:asciiTheme="minorHAnsi" w:hAnsiTheme="minorHAnsi" w:cstheme="minorHAnsi"/>
          <w:color w:val="000000"/>
          <w:sz w:val="22"/>
          <w:szCs w:val="22"/>
          <w:lang w:val="fr-BE" w:eastAsia="fr-BE"/>
        </w:rPr>
        <w:t>L'engagement de personnel enseignant supplémentaire ou des périodes complémentaires pour l'encadrement en classe ou hors classe, la remédiation, l'étude dirigée, le soutien dans l'apprentissage, le conseil pédagogique, la formation, le travail en équipe, le tutorat dans le cadre de la lutte contre l'échec et le décrochage scolaires.</w:t>
      </w:r>
    </w:p>
    <w:p>
      <w:pPr>
        <w:spacing w:after="120"/>
        <w:jc w:val="both"/>
        <w:rPr>
          <w:rFonts w:asciiTheme="minorHAnsi" w:hAnsiTheme="minorHAnsi" w:cstheme="minorHAnsi"/>
          <w:b/>
          <w:color w:val="000000"/>
          <w:sz w:val="22"/>
          <w:szCs w:val="22"/>
          <w:lang w:val="fr-BE" w:eastAsia="fr-BE"/>
        </w:rPr>
      </w:pPr>
      <w:r>
        <w:rPr>
          <w:rFonts w:asciiTheme="minorHAnsi" w:hAnsiTheme="minorHAnsi" w:cstheme="minorHAnsi"/>
          <w:b/>
          <w:color w:val="000000"/>
          <w:sz w:val="22"/>
          <w:szCs w:val="22"/>
          <w:lang w:val="fr-BE" w:eastAsia="fr-BE"/>
        </w:rPr>
        <w:t>Dans les implantations dont les crédits complémentaires (hors solde reporté de l’année scolaire précédente) sont supérieurs à 12.500 €, les moyens d’encadrement mobilisés avec les crédits complémentaires, doivent être utilisés dans le cadre de la lutte contre l’échec et le décrochage scolaires à hauteur de minimum 25 %.</w:t>
      </w:r>
    </w:p>
    <w:p>
      <w:pPr>
        <w:spacing w:after="120"/>
        <w:jc w:val="both"/>
        <w:rPr>
          <w:rFonts w:asciiTheme="minorHAnsi" w:hAnsiTheme="minorHAnsi" w:cstheme="minorHAnsi"/>
          <w:b/>
          <w:color w:val="000000"/>
          <w:sz w:val="22"/>
          <w:szCs w:val="22"/>
          <w:lang w:val="fr-BE" w:eastAsia="fr-BE"/>
        </w:rPr>
      </w:pPr>
      <w:r>
        <w:rPr>
          <w:rFonts w:asciiTheme="minorHAnsi" w:hAnsiTheme="minorHAnsi" w:cstheme="minorHAnsi"/>
          <w:b/>
          <w:color w:val="000000"/>
          <w:sz w:val="22"/>
          <w:szCs w:val="22"/>
          <w:lang w:val="fr-BE" w:eastAsia="fr-BE"/>
        </w:rPr>
        <w:t>Ces 25 % comprennent les possibilités d’engagement prévues aux points 1 °, 2 °, 3 ° b) et 11 ° de la liste ci-dessus.</w:t>
      </w:r>
    </w:p>
    <w:p>
      <w:pPr>
        <w:spacing w:after="120"/>
        <w:jc w:val="both"/>
        <w:rPr>
          <w:rFonts w:asciiTheme="minorHAnsi" w:hAnsiTheme="minorHAnsi" w:cstheme="minorHAnsi"/>
          <w:sz w:val="22"/>
          <w:szCs w:val="22"/>
          <w:lang w:val="fr-BE"/>
        </w:rPr>
      </w:pPr>
      <w:r>
        <w:rPr>
          <w:rFonts w:asciiTheme="minorHAnsi" w:hAnsiTheme="minorHAnsi" w:cstheme="minorHAnsi"/>
          <w:sz w:val="22"/>
          <w:szCs w:val="22"/>
          <w:lang w:val="fr-BE"/>
        </w:rPr>
        <w:t>Au point 11 ° apparaît la possibilité de convertir des moyens financiers en périodes-professeurs. Les modalités pratiques pour effectuer cette conversion seront redéfinies dans une circulaire spécifique à paraître.</w:t>
      </w:r>
      <w:r>
        <w:rPr>
          <w:rStyle w:val="Appelnotedebasdep"/>
          <w:rFonts w:asciiTheme="minorHAnsi" w:hAnsiTheme="minorHAnsi" w:cstheme="minorHAnsi"/>
          <w:sz w:val="22"/>
          <w:szCs w:val="22"/>
          <w:lang w:val="fr-BE"/>
        </w:rPr>
        <w:footnoteReference w:id="8"/>
      </w:r>
    </w:p>
    <w:p>
      <w:pPr>
        <w:pStyle w:val="Paragraphedeliste"/>
        <w:keepNext/>
        <w:numPr>
          <w:ilvl w:val="0"/>
          <w:numId w:val="20"/>
        </w:numPr>
        <w:spacing w:before="360" w:after="240"/>
        <w:contextualSpacing w:val="0"/>
        <w:jc w:val="both"/>
        <w:rPr>
          <w:rFonts w:asciiTheme="minorHAnsi" w:hAnsiTheme="minorHAnsi" w:cstheme="minorHAnsi"/>
          <w:b/>
          <w:bCs/>
          <w:sz w:val="28"/>
          <w:szCs w:val="28"/>
          <w:u w:val="single"/>
        </w:rPr>
      </w:pPr>
      <w:r>
        <w:rPr>
          <w:rFonts w:asciiTheme="minorHAnsi" w:hAnsiTheme="minorHAnsi" w:cstheme="minorHAnsi"/>
          <w:b/>
          <w:bCs/>
          <w:sz w:val="28"/>
          <w:szCs w:val="28"/>
          <w:u w:val="single"/>
        </w:rPr>
        <w:t>Délais de paiement et d’utilisation des moyens financiers</w:t>
      </w:r>
    </w:p>
    <w:p>
      <w:pPr>
        <w:pStyle w:val="Default"/>
        <w:keepNext/>
        <w:spacing w:after="120"/>
        <w:jc w:val="both"/>
        <w:rPr>
          <w:rFonts w:asciiTheme="minorHAnsi" w:hAnsiTheme="minorHAnsi" w:cstheme="minorHAnsi"/>
          <w:bCs/>
          <w:iCs/>
          <w:sz w:val="22"/>
          <w:lang w:val="fr-FR"/>
        </w:rPr>
      </w:pPr>
      <w:r>
        <w:rPr>
          <w:rFonts w:asciiTheme="minorHAnsi" w:hAnsiTheme="minorHAnsi" w:cstheme="minorHAnsi"/>
          <w:bCs/>
          <w:iCs/>
          <w:sz w:val="22"/>
        </w:rPr>
        <w:t xml:space="preserve">Les moyens de fonctionnement relatifs à l’encadrement différencié sont alloués par année scolaire et par implantation bénéficiaire. </w:t>
      </w:r>
    </w:p>
    <w:p>
      <w:pPr>
        <w:pStyle w:val="Default"/>
        <w:keepNext/>
        <w:spacing w:after="120"/>
        <w:jc w:val="both"/>
        <w:rPr>
          <w:rFonts w:asciiTheme="minorHAnsi" w:hAnsiTheme="minorHAnsi" w:cstheme="minorHAnsi"/>
          <w:bCs/>
          <w:iCs/>
          <w:sz w:val="22"/>
        </w:rPr>
      </w:pPr>
      <w:r>
        <w:rPr>
          <w:rFonts w:asciiTheme="minorHAnsi" w:hAnsiTheme="minorHAnsi" w:cstheme="minorHAnsi"/>
          <w:bCs/>
          <w:iCs/>
          <w:sz w:val="22"/>
        </w:rPr>
        <w:t>Les montants sont versés aux établissements ou aux pouvoirs organisateurs des implantations bénéficiaires en début d’année civile où l’année scolaire concernée prend fin.</w:t>
      </w:r>
    </w:p>
    <w:p>
      <w:pPr>
        <w:pStyle w:val="Default"/>
        <w:spacing w:after="120"/>
        <w:jc w:val="both"/>
        <w:rPr>
          <w:rFonts w:asciiTheme="minorHAnsi" w:hAnsiTheme="minorHAnsi" w:cstheme="minorHAnsi"/>
          <w:bCs/>
          <w:iCs/>
          <w:sz w:val="22"/>
        </w:rPr>
      </w:pPr>
      <w:r>
        <w:rPr>
          <w:rFonts w:asciiTheme="minorHAnsi" w:hAnsiTheme="minorHAnsi" w:cstheme="minorHAnsi"/>
          <w:b/>
          <w:bCs/>
          <w:iCs/>
          <w:sz w:val="22"/>
        </w:rPr>
        <w:t>Les moyens de fonctionnement reçus doivent être dépensés entièrement au plus tard le 30 juin de la deuxième année qui suit l’année scolaire pour laquelle ces crédits ont été octroyés</w:t>
      </w:r>
      <w:r>
        <w:rPr>
          <w:rFonts w:asciiTheme="minorHAnsi" w:hAnsiTheme="minorHAnsi" w:cstheme="minorHAnsi"/>
          <w:bCs/>
          <w:iCs/>
          <w:sz w:val="22"/>
        </w:rPr>
        <w:t xml:space="preserve">. </w:t>
      </w:r>
    </w:p>
    <w:p>
      <w:pPr>
        <w:pStyle w:val="Default"/>
        <w:spacing w:after="120"/>
        <w:jc w:val="both"/>
        <w:rPr>
          <w:rFonts w:asciiTheme="minorHAnsi" w:hAnsiTheme="minorHAnsi" w:cstheme="minorHAnsi"/>
          <w:bCs/>
          <w:iCs/>
          <w:sz w:val="22"/>
        </w:rPr>
      </w:pPr>
      <w:r>
        <w:rPr>
          <w:rFonts w:asciiTheme="minorHAnsi" w:hAnsiTheme="minorHAnsi" w:cstheme="minorHAnsi"/>
          <w:b/>
          <w:bCs/>
          <w:iCs/>
          <w:sz w:val="22"/>
        </w:rPr>
        <w:t>Aucun report ne sera permis et les sommes non dépensées à cette date devront être remboursées</w:t>
      </w:r>
      <w:r>
        <w:rPr>
          <w:rFonts w:asciiTheme="minorHAnsi" w:hAnsiTheme="minorHAnsi" w:cstheme="minorHAnsi"/>
          <w:bCs/>
          <w:iCs/>
          <w:sz w:val="22"/>
        </w:rPr>
        <w:t>.</w:t>
      </w:r>
    </w:p>
    <w:tbl>
      <w:tblPr>
        <w:tblStyle w:val="Grilledutableau"/>
        <w:tblW w:w="0" w:type="auto"/>
        <w:tblInd w:w="108" w:type="dxa"/>
        <w:tblLook w:val="04A0" w:firstRow="1" w:lastRow="0" w:firstColumn="1" w:lastColumn="0" w:noHBand="0" w:noVBand="1"/>
      </w:tblPr>
      <w:tblGrid>
        <w:gridCol w:w="9102"/>
      </w:tblGrid>
      <w:tr>
        <w:trPr>
          <w:trHeight w:val="2016"/>
        </w:trPr>
        <w:tc>
          <w:tcPr>
            <w:tcW w:w="9102" w:type="dxa"/>
          </w:tcPr>
          <w:p>
            <w:pPr>
              <w:pStyle w:val="Default"/>
              <w:spacing w:before="120" w:after="120"/>
              <w:ind w:left="214" w:right="213"/>
              <w:jc w:val="both"/>
              <w:rPr>
                <w:rFonts w:asciiTheme="minorHAnsi" w:hAnsiTheme="minorHAnsi" w:cstheme="minorHAnsi"/>
                <w:bCs/>
                <w:iCs/>
                <w:sz w:val="22"/>
              </w:rPr>
            </w:pPr>
            <w:r>
              <w:rPr>
                <w:rFonts w:asciiTheme="minorHAnsi" w:hAnsiTheme="minorHAnsi" w:cstheme="minorHAnsi"/>
                <w:bCs/>
                <w:iCs/>
                <w:sz w:val="22"/>
                <w:u w:val="single"/>
              </w:rPr>
              <w:t>Exemple</w:t>
            </w:r>
            <w:r>
              <w:rPr>
                <w:rFonts w:asciiTheme="minorHAnsi" w:hAnsiTheme="minorHAnsi" w:cstheme="minorHAnsi"/>
                <w:bCs/>
                <w:iCs/>
                <w:sz w:val="22"/>
              </w:rPr>
              <w:t xml:space="preserve"> : </w:t>
            </w:r>
          </w:p>
          <w:p>
            <w:pPr>
              <w:pStyle w:val="Default"/>
              <w:spacing w:before="120" w:after="120"/>
              <w:ind w:left="176" w:right="205"/>
              <w:jc w:val="both"/>
              <w:rPr>
                <w:rFonts w:asciiTheme="minorHAnsi" w:hAnsiTheme="minorHAnsi" w:cstheme="minorHAnsi"/>
                <w:bCs/>
                <w:iCs/>
                <w:sz w:val="22"/>
                <w:u w:val="single"/>
              </w:rPr>
            </w:pPr>
            <w:r>
              <w:rPr>
                <w:rFonts w:asciiTheme="minorHAnsi" w:hAnsiTheme="minorHAnsi" w:cstheme="minorHAnsi"/>
                <w:bCs/>
                <w:iCs/>
                <w:sz w:val="22"/>
              </w:rPr>
              <w:t xml:space="preserve">En janvier 2018, l’implantation </w:t>
            </w:r>
            <w:r>
              <w:rPr>
                <w:rFonts w:asciiTheme="minorHAnsi" w:hAnsiTheme="minorHAnsi" w:cstheme="minorHAnsi"/>
                <w:bCs/>
                <w:i/>
                <w:iCs/>
                <w:sz w:val="22"/>
              </w:rPr>
              <w:t>H</w:t>
            </w:r>
            <w:r>
              <w:rPr>
                <w:rFonts w:asciiTheme="minorHAnsi" w:hAnsiTheme="minorHAnsi" w:cstheme="minorHAnsi"/>
                <w:bCs/>
                <w:iCs/>
                <w:sz w:val="22"/>
              </w:rPr>
              <w:t xml:space="preserve"> reçoit 26.315 euros de moyens de fonctionnement pour l’encadrement différencié pour l’année scolaire 2017-2018. En date du 30 juin 2020, elle a dépensé 25.100 euros, conformément aux dépenses prévues au point 4.2. de la présente circulaire</w:t>
            </w:r>
            <w:r>
              <w:rPr>
                <w:rStyle w:val="Appelnotedebasdep"/>
                <w:rFonts w:asciiTheme="minorHAnsi" w:hAnsiTheme="minorHAnsi" w:cstheme="minorHAnsi"/>
                <w:bCs/>
                <w:iCs/>
                <w:sz w:val="22"/>
              </w:rPr>
              <w:footnoteReference w:id="9"/>
            </w:r>
            <w:r>
              <w:rPr>
                <w:rFonts w:asciiTheme="minorHAnsi" w:hAnsiTheme="minorHAnsi" w:cstheme="minorHAnsi"/>
                <w:bCs/>
                <w:iCs/>
                <w:sz w:val="22"/>
              </w:rPr>
              <w:t>. Par conséquent, un montant égal à 1.215 euros devra faire l’objet d’un remboursement auprès du Ministère de la Fédération Wallonie-Bruxelles.</w:t>
            </w:r>
          </w:p>
        </w:tc>
      </w:tr>
    </w:tbl>
    <w:p>
      <w:pPr>
        <w:jc w:val="both"/>
        <w:rPr>
          <w:rFonts w:asciiTheme="minorHAnsi" w:hAnsiTheme="minorHAnsi" w:cstheme="minorHAnsi"/>
          <w:b/>
          <w:bCs/>
          <w:sz w:val="28"/>
          <w:szCs w:val="28"/>
          <w:u w:val="single"/>
        </w:rPr>
      </w:pPr>
    </w:p>
    <w:p>
      <w:pPr>
        <w:pStyle w:val="Paragraphedeliste"/>
        <w:numPr>
          <w:ilvl w:val="0"/>
          <w:numId w:val="20"/>
        </w:numPr>
        <w:spacing w:before="360" w:after="240"/>
        <w:contextualSpacing w:val="0"/>
        <w:jc w:val="both"/>
        <w:rPr>
          <w:rFonts w:asciiTheme="minorHAnsi" w:hAnsiTheme="minorHAnsi" w:cstheme="minorHAnsi"/>
          <w:b/>
          <w:bCs/>
          <w:sz w:val="28"/>
          <w:szCs w:val="28"/>
          <w:u w:val="single"/>
        </w:rPr>
      </w:pPr>
      <w:r>
        <w:rPr>
          <w:rFonts w:asciiTheme="minorHAnsi" w:hAnsiTheme="minorHAnsi" w:cstheme="minorHAnsi"/>
          <w:b/>
          <w:bCs/>
          <w:sz w:val="28"/>
          <w:szCs w:val="28"/>
          <w:u w:val="single"/>
        </w:rPr>
        <w:t>Elaboration du PGAED et de son rapport de suivi</w:t>
      </w:r>
      <w:r>
        <w:rPr>
          <w:rStyle w:val="Appelnotedebasdep"/>
          <w:rFonts w:asciiTheme="minorHAnsi" w:hAnsiTheme="minorHAnsi" w:cstheme="minorHAnsi"/>
          <w:b/>
          <w:bCs/>
          <w:sz w:val="28"/>
          <w:szCs w:val="28"/>
          <w:u w:val="single"/>
        </w:rPr>
        <w:footnoteReference w:id="10"/>
      </w:r>
    </w:p>
    <w:p>
      <w:pPr>
        <w:spacing w:after="120"/>
        <w:jc w:val="both"/>
        <w:rPr>
          <w:rFonts w:asciiTheme="minorHAnsi" w:hAnsiTheme="minorHAnsi" w:cstheme="minorHAnsi"/>
          <w:sz w:val="22"/>
        </w:rPr>
      </w:pPr>
      <w:r>
        <w:rPr>
          <w:rFonts w:asciiTheme="minorHAnsi" w:hAnsiTheme="minorHAnsi" w:cstheme="minorHAnsi"/>
          <w:sz w:val="22"/>
        </w:rPr>
        <w:t>Le Projet Général d’Action d’Encadrement Différencié (PGAED) définit les objectifs poursuivis et l’ensemble des actions concrètes, notamment les actions pédagogiques complémentaires, envisagés dans le cadre de l’encadrement différencié. Il indique l’affectation ventilée qui sera faite des moyens humains et des moyens de fonctionnement octroyés complémentairement pour l’année scolaire concernée.</w:t>
      </w:r>
    </w:p>
    <w:p>
      <w:pPr>
        <w:spacing w:after="120"/>
        <w:jc w:val="both"/>
        <w:rPr>
          <w:rFonts w:asciiTheme="minorHAnsi" w:hAnsiTheme="minorHAnsi" w:cstheme="minorHAnsi"/>
          <w:sz w:val="22"/>
        </w:rPr>
      </w:pPr>
      <w:r>
        <w:rPr>
          <w:rFonts w:asciiTheme="minorHAnsi" w:hAnsiTheme="minorHAnsi" w:cstheme="minorHAnsi"/>
          <w:sz w:val="22"/>
        </w:rPr>
        <w:t xml:space="preserve">L’annexe 1 de la présente circulaire reprend le modèle du </w:t>
      </w:r>
      <w:r>
        <w:rPr>
          <w:rFonts w:asciiTheme="minorHAnsi" w:hAnsiTheme="minorHAnsi" w:cstheme="minorHAnsi"/>
          <w:b/>
          <w:sz w:val="22"/>
        </w:rPr>
        <w:t>PGAED</w:t>
      </w:r>
      <w:r>
        <w:rPr>
          <w:rFonts w:asciiTheme="minorHAnsi" w:hAnsiTheme="minorHAnsi" w:cstheme="minorHAnsi"/>
          <w:sz w:val="22"/>
        </w:rPr>
        <w:t xml:space="preserve"> à remplir </w:t>
      </w:r>
      <w:r>
        <w:rPr>
          <w:rFonts w:asciiTheme="minorHAnsi" w:hAnsiTheme="minorHAnsi" w:cstheme="minorHAnsi"/>
          <w:sz w:val="22"/>
          <w:u w:val="single"/>
        </w:rPr>
        <w:t>pour chaque année scolaire</w:t>
      </w:r>
      <w:r>
        <w:rPr>
          <w:rFonts w:asciiTheme="minorHAnsi" w:hAnsiTheme="minorHAnsi" w:cstheme="minorHAnsi"/>
          <w:sz w:val="22"/>
        </w:rPr>
        <w:t xml:space="preserve">, </w:t>
      </w:r>
      <w:r>
        <w:rPr>
          <w:rFonts w:asciiTheme="minorHAnsi" w:hAnsiTheme="minorHAnsi" w:cstheme="minorHAnsi"/>
          <w:b/>
          <w:sz w:val="22"/>
        </w:rPr>
        <w:t>au plus tard pour le 30 juin précédant l’année scolaire concernée</w:t>
      </w:r>
      <w:r>
        <w:rPr>
          <w:rFonts w:asciiTheme="minorHAnsi" w:hAnsiTheme="minorHAnsi" w:cstheme="minorHAnsi"/>
          <w:sz w:val="22"/>
        </w:rPr>
        <w:t xml:space="preserve">. </w:t>
      </w:r>
      <w:r>
        <w:rPr>
          <w:rFonts w:asciiTheme="minorHAnsi" w:hAnsiTheme="minorHAnsi" w:cstheme="minorHAnsi"/>
          <w:b/>
          <w:sz w:val="22"/>
        </w:rPr>
        <w:t>Pour l’année 2017/2018, l’annexe 1 précitée devra être complétée au plus tard pour le 15 novembre</w:t>
      </w:r>
      <w:r>
        <w:rPr>
          <w:rFonts w:asciiTheme="minorHAnsi" w:hAnsiTheme="minorHAnsi" w:cstheme="minorHAnsi"/>
          <w:sz w:val="22"/>
        </w:rPr>
        <w:t xml:space="preserve"> de l’année scolaire concernée.</w:t>
      </w:r>
    </w:p>
    <w:p>
      <w:pPr>
        <w:spacing w:after="120"/>
        <w:jc w:val="both"/>
        <w:rPr>
          <w:rFonts w:asciiTheme="minorHAnsi" w:hAnsiTheme="minorHAnsi" w:cstheme="minorHAnsi"/>
          <w:sz w:val="22"/>
        </w:rPr>
      </w:pPr>
      <w:r>
        <w:rPr>
          <w:rFonts w:asciiTheme="minorHAnsi" w:hAnsiTheme="minorHAnsi" w:cstheme="minorHAnsi"/>
          <w:sz w:val="22"/>
          <w:u w:val="single"/>
        </w:rPr>
        <w:t>Pour chaque implantation bénéficiaire de l’encadrement différencié</w:t>
      </w:r>
      <w:r>
        <w:rPr>
          <w:rFonts w:asciiTheme="minorHAnsi" w:hAnsiTheme="minorHAnsi" w:cstheme="minorHAnsi"/>
          <w:sz w:val="22"/>
        </w:rPr>
        <w:t>, un PGAED et son rapport de suivi sont élaborés en concertation avec l’ensemble de l’équipe éducative de l’implantation, par le chef d’établissement dans l’enseignement organisé par la Communauté française et par le pouvoir organisateur dans l’enseignement subventionné par la Communauté française.</w:t>
      </w:r>
    </w:p>
    <w:p>
      <w:pPr>
        <w:spacing w:after="120"/>
        <w:jc w:val="both"/>
        <w:rPr>
          <w:rFonts w:asciiTheme="minorHAnsi" w:hAnsiTheme="minorHAnsi" w:cstheme="minorHAnsi"/>
          <w:sz w:val="22"/>
        </w:rPr>
      </w:pPr>
      <w:r>
        <w:rPr>
          <w:rFonts w:asciiTheme="minorHAnsi" w:hAnsiTheme="minorHAnsi" w:cstheme="minorHAnsi"/>
          <w:b/>
          <w:sz w:val="22"/>
          <w:u w:val="single"/>
        </w:rPr>
        <w:t>Attention</w:t>
      </w:r>
      <w:r>
        <w:rPr>
          <w:rFonts w:asciiTheme="minorHAnsi" w:hAnsiTheme="minorHAnsi" w:cstheme="minorHAnsi"/>
          <w:sz w:val="22"/>
        </w:rPr>
        <w:t xml:space="preserve"> : </w:t>
      </w:r>
      <w:r>
        <w:rPr>
          <w:rFonts w:asciiTheme="minorHAnsi" w:hAnsiTheme="minorHAnsi" w:cstheme="minorHAnsi"/>
          <w:b/>
          <w:sz w:val="22"/>
        </w:rPr>
        <w:t>Le rapport du suivi du PGAED est intégré au même document (annexe 1) que le PGAED.</w:t>
      </w:r>
      <w:r>
        <w:rPr>
          <w:rFonts w:asciiTheme="minorHAnsi" w:hAnsiTheme="minorHAnsi" w:cstheme="minorHAnsi"/>
          <w:sz w:val="22"/>
        </w:rPr>
        <w:t xml:space="preserve"> Il représente les parties grisées de l’annexe 1 qui sont à remplir </w:t>
      </w:r>
      <w:r>
        <w:rPr>
          <w:rFonts w:asciiTheme="minorHAnsi" w:hAnsiTheme="minorHAnsi" w:cstheme="minorHAnsi"/>
          <w:sz w:val="22"/>
          <w:u w:val="single"/>
        </w:rPr>
        <w:t>pour chaque année scolaire</w:t>
      </w:r>
      <w:r>
        <w:rPr>
          <w:rFonts w:asciiTheme="minorHAnsi" w:hAnsiTheme="minorHAnsi" w:cstheme="minorHAnsi"/>
          <w:sz w:val="22"/>
        </w:rPr>
        <w:t xml:space="preserve">, au plus tard </w:t>
      </w:r>
      <w:r>
        <w:rPr>
          <w:rFonts w:asciiTheme="minorHAnsi" w:hAnsiTheme="minorHAnsi" w:cstheme="minorHAnsi"/>
          <w:b/>
          <w:sz w:val="22"/>
        </w:rPr>
        <w:t>pour le 30 juin</w:t>
      </w:r>
      <w:r>
        <w:rPr>
          <w:rFonts w:asciiTheme="minorHAnsi" w:hAnsiTheme="minorHAnsi" w:cstheme="minorHAnsi"/>
          <w:sz w:val="22"/>
        </w:rPr>
        <w:t>.</w:t>
      </w:r>
    </w:p>
    <w:p>
      <w:pPr>
        <w:spacing w:after="120"/>
        <w:jc w:val="both"/>
        <w:rPr>
          <w:rFonts w:asciiTheme="minorHAnsi" w:hAnsiTheme="minorHAnsi" w:cstheme="minorHAnsi"/>
          <w:sz w:val="22"/>
        </w:rPr>
      </w:pPr>
      <w:r>
        <w:rPr>
          <w:rFonts w:asciiTheme="minorHAnsi" w:hAnsiTheme="minorHAnsi" w:cstheme="minorHAnsi"/>
          <w:sz w:val="22"/>
        </w:rPr>
        <w:t>Le rapport de suivi du PGAED permet de juger de l’accomplissement des objectifs fixés initialement. Il indique l’utilisation des moyens humains et financiers complémentaires octroyés effectivement réalisée durant l’année scolaire écoulée, ainsi que l’évolution des actions envisagées initialement.</w:t>
      </w:r>
    </w:p>
    <w:p>
      <w:pPr>
        <w:spacing w:after="120"/>
        <w:jc w:val="both"/>
        <w:rPr>
          <w:rFonts w:asciiTheme="minorHAnsi" w:hAnsiTheme="minorHAnsi" w:cstheme="minorHAnsi"/>
          <w:sz w:val="22"/>
        </w:rPr>
      </w:pPr>
      <w:r>
        <w:rPr>
          <w:rFonts w:asciiTheme="minorHAnsi" w:hAnsiTheme="minorHAnsi" w:cstheme="minorHAnsi"/>
          <w:sz w:val="22"/>
        </w:rPr>
        <w:t>Quand l’établissement dispose d’un plan de pilotage, les PGAED des implantations bénéficiaires de l’encadrement différencié y sont intégrés. Lorsque le PGAED est intégré au plan de pilotage de l’établissement, le rapport de suivi du PGAED s’établit selon les modalités de suivi du plan de pilotage.</w:t>
      </w:r>
    </w:p>
    <w:p>
      <w:pPr>
        <w:keepNext/>
        <w:spacing w:after="120"/>
        <w:jc w:val="both"/>
        <w:rPr>
          <w:rFonts w:asciiTheme="minorHAnsi" w:hAnsiTheme="minorHAnsi" w:cstheme="minorHAnsi"/>
          <w:b/>
          <w:u w:val="single"/>
        </w:rPr>
      </w:pPr>
      <w:r>
        <w:rPr>
          <w:rFonts w:asciiTheme="minorHAnsi" w:hAnsiTheme="minorHAnsi" w:cstheme="minorHAnsi"/>
          <w:b/>
          <w:u w:val="single"/>
        </w:rPr>
        <w:t>Comment compléter le PGAED et son rapport de suivi ?</w:t>
      </w:r>
    </w:p>
    <w:p>
      <w:pPr>
        <w:keepNext/>
        <w:spacing w:after="120"/>
        <w:jc w:val="both"/>
        <w:rPr>
          <w:rFonts w:asciiTheme="minorHAnsi" w:hAnsiTheme="minorHAnsi" w:cstheme="minorHAnsi"/>
          <w:sz w:val="22"/>
          <w:u w:val="single"/>
        </w:rPr>
      </w:pPr>
      <w:r>
        <w:rPr>
          <w:rFonts w:asciiTheme="minorHAnsi" w:hAnsiTheme="minorHAnsi" w:cstheme="minorHAnsi"/>
          <w:sz w:val="22"/>
          <w:u w:val="single"/>
        </w:rPr>
        <w:t>1. Identification de l’implantation concernée</w:t>
      </w:r>
    </w:p>
    <w:p>
      <w:pPr>
        <w:keepNext/>
        <w:spacing w:after="120"/>
        <w:jc w:val="both"/>
        <w:rPr>
          <w:rFonts w:asciiTheme="minorHAnsi" w:hAnsiTheme="minorHAnsi" w:cstheme="minorHAnsi"/>
          <w:sz w:val="22"/>
        </w:rPr>
      </w:pPr>
      <w:r>
        <w:rPr>
          <w:rFonts w:asciiTheme="minorHAnsi" w:hAnsiTheme="minorHAnsi" w:cstheme="minorHAnsi"/>
          <w:sz w:val="22"/>
        </w:rPr>
        <w:t>Cette rubrique permet d’identifier le Pouvoir organisateur (pour l’enseignement subventionné), l’établissement et l’implantation concernés.</w:t>
      </w:r>
    </w:p>
    <w:p>
      <w:pPr>
        <w:keepNext/>
        <w:spacing w:after="120"/>
        <w:jc w:val="both"/>
        <w:rPr>
          <w:rFonts w:asciiTheme="minorHAnsi" w:hAnsiTheme="minorHAnsi" w:cstheme="minorHAnsi"/>
          <w:sz w:val="22"/>
        </w:rPr>
      </w:pPr>
      <w:r>
        <w:rPr>
          <w:rFonts w:asciiTheme="minorHAnsi" w:hAnsiTheme="minorHAnsi" w:cstheme="minorHAnsi"/>
          <w:sz w:val="22"/>
        </w:rPr>
        <w:t>En ce qui concerne l’identification de la classe d’encadrement différencié, il convient de reprendre la classe renseignée sur la dépêche envoyée.</w:t>
      </w:r>
    </w:p>
    <w:p>
      <w:pPr>
        <w:spacing w:after="120"/>
        <w:jc w:val="both"/>
        <w:rPr>
          <w:rFonts w:asciiTheme="minorHAnsi" w:hAnsiTheme="minorHAnsi" w:cstheme="minorHAnsi"/>
          <w:sz w:val="22"/>
          <w:u w:val="single"/>
        </w:rPr>
      </w:pPr>
      <w:r>
        <w:rPr>
          <w:rFonts w:asciiTheme="minorHAnsi" w:hAnsiTheme="minorHAnsi" w:cstheme="minorHAnsi"/>
          <w:sz w:val="22"/>
          <w:u w:val="single"/>
        </w:rPr>
        <w:t>2. Moyens complémentaires octroyés dans le cadre de l’encadrement différencié</w:t>
      </w:r>
    </w:p>
    <w:p>
      <w:pPr>
        <w:spacing w:after="120"/>
        <w:jc w:val="both"/>
        <w:rPr>
          <w:rFonts w:asciiTheme="minorHAnsi" w:hAnsiTheme="minorHAnsi" w:cstheme="minorHAnsi"/>
          <w:sz w:val="22"/>
        </w:rPr>
      </w:pPr>
      <w:r>
        <w:rPr>
          <w:rFonts w:asciiTheme="minorHAnsi" w:hAnsiTheme="minorHAnsi" w:cstheme="minorHAnsi"/>
          <w:sz w:val="22"/>
        </w:rPr>
        <w:t>Indiquer le nombre de périodes et le budget octroyés dans le cadre de l’encadrement différencié à l’implantation bénéficiaire pour l’année scolaire considérée.</w:t>
      </w:r>
    </w:p>
    <w:p>
      <w:pPr>
        <w:spacing w:after="120"/>
        <w:jc w:val="both"/>
        <w:rPr>
          <w:rFonts w:asciiTheme="minorHAnsi" w:hAnsiTheme="minorHAnsi" w:cstheme="minorHAnsi"/>
          <w:sz w:val="22"/>
          <w:u w:val="single"/>
        </w:rPr>
      </w:pPr>
      <w:r>
        <w:rPr>
          <w:rFonts w:asciiTheme="minorHAnsi" w:hAnsiTheme="minorHAnsi" w:cstheme="minorHAnsi"/>
          <w:sz w:val="22"/>
          <w:u w:val="single"/>
        </w:rPr>
        <w:t>3. Informations et indicateurs</w:t>
      </w:r>
    </w:p>
    <w:p>
      <w:pPr>
        <w:spacing w:after="120"/>
        <w:jc w:val="both"/>
        <w:rPr>
          <w:rFonts w:asciiTheme="minorHAnsi" w:hAnsiTheme="minorHAnsi" w:cstheme="minorHAnsi"/>
          <w:sz w:val="22"/>
        </w:rPr>
      </w:pPr>
      <w:r>
        <w:rPr>
          <w:rFonts w:asciiTheme="minorHAnsi" w:hAnsiTheme="minorHAnsi" w:cstheme="minorHAnsi"/>
          <w:sz w:val="22"/>
        </w:rPr>
        <w:t>Décrire le contexte dans lequel s’inscrit le PGAED : les éléments du projet d’établissement en lien avec les actions envisagées, les mesures objectives liées à la réussite scolaire, les besoins spécifiques du terrain...</w:t>
      </w:r>
    </w:p>
    <w:p>
      <w:pPr>
        <w:keepNext/>
        <w:spacing w:after="120"/>
        <w:jc w:val="both"/>
        <w:rPr>
          <w:rFonts w:asciiTheme="minorHAnsi" w:hAnsiTheme="minorHAnsi" w:cstheme="minorHAnsi"/>
          <w:sz w:val="22"/>
          <w:u w:val="single"/>
        </w:rPr>
      </w:pPr>
      <w:r>
        <w:rPr>
          <w:rFonts w:asciiTheme="minorHAnsi" w:hAnsiTheme="minorHAnsi" w:cstheme="minorHAnsi"/>
          <w:sz w:val="22"/>
          <w:u w:val="single"/>
        </w:rPr>
        <w:t xml:space="preserve">4. Objectifs et actions </w:t>
      </w:r>
    </w:p>
    <w:p>
      <w:pPr>
        <w:keepNext/>
        <w:jc w:val="both"/>
        <w:rPr>
          <w:rFonts w:asciiTheme="minorHAnsi" w:hAnsiTheme="minorHAnsi" w:cstheme="minorHAnsi"/>
          <w:b/>
          <w:sz w:val="22"/>
        </w:rPr>
      </w:pPr>
      <w:r>
        <w:rPr>
          <w:rFonts w:asciiTheme="minorHAnsi" w:hAnsiTheme="minorHAnsi" w:cstheme="minorHAnsi"/>
          <w:b/>
          <w:sz w:val="22"/>
        </w:rPr>
        <w:t>Pour le PGAED à remplir pour le 30 juin précédant l’année scolaire concernée, préciser :</w:t>
      </w:r>
    </w:p>
    <w:p>
      <w:pPr>
        <w:keepNext/>
        <w:ind w:left="708"/>
        <w:jc w:val="both"/>
        <w:rPr>
          <w:rFonts w:asciiTheme="minorHAnsi" w:hAnsiTheme="minorHAnsi" w:cstheme="minorHAnsi"/>
          <w:sz w:val="22"/>
        </w:rPr>
      </w:pPr>
      <w:r>
        <w:rPr>
          <w:rFonts w:asciiTheme="minorHAnsi" w:hAnsiTheme="minorHAnsi" w:cstheme="minorHAnsi"/>
          <w:sz w:val="22"/>
        </w:rPr>
        <w:t>- les objectifs (Situation attendue – indicateurs objectifs du résultat attendu) ;</w:t>
      </w:r>
    </w:p>
    <w:p>
      <w:pPr>
        <w:keepNext/>
        <w:ind w:left="708"/>
        <w:jc w:val="both"/>
        <w:rPr>
          <w:rFonts w:asciiTheme="minorHAnsi" w:hAnsiTheme="minorHAnsi" w:cstheme="minorHAnsi"/>
          <w:sz w:val="22"/>
        </w:rPr>
      </w:pPr>
      <w:r>
        <w:rPr>
          <w:rFonts w:asciiTheme="minorHAnsi" w:hAnsiTheme="minorHAnsi" w:cstheme="minorHAnsi"/>
          <w:sz w:val="22"/>
        </w:rPr>
        <w:t>- les actions concrètes envisagées durant l’année scolaire ;</w:t>
      </w:r>
    </w:p>
    <w:p>
      <w:pPr>
        <w:keepNext/>
        <w:spacing w:after="120"/>
        <w:ind w:left="708"/>
        <w:jc w:val="both"/>
        <w:rPr>
          <w:rFonts w:asciiTheme="minorHAnsi" w:hAnsiTheme="minorHAnsi" w:cstheme="minorHAnsi"/>
          <w:sz w:val="22"/>
        </w:rPr>
      </w:pPr>
      <w:r>
        <w:rPr>
          <w:rFonts w:asciiTheme="minorHAnsi" w:hAnsiTheme="minorHAnsi" w:cstheme="minorHAnsi"/>
          <w:sz w:val="22"/>
        </w:rPr>
        <w:t>- les périodes et/ou budget nécessaires pour mener à bien ces actions.</w:t>
      </w:r>
    </w:p>
    <w:p>
      <w:pPr>
        <w:keepNext/>
        <w:spacing w:after="120"/>
        <w:jc w:val="both"/>
        <w:rPr>
          <w:rFonts w:asciiTheme="minorHAnsi" w:hAnsiTheme="minorHAnsi" w:cstheme="minorHAnsi"/>
          <w:sz w:val="22"/>
        </w:rPr>
      </w:pPr>
      <w:r>
        <w:rPr>
          <w:rFonts w:asciiTheme="minorHAnsi" w:hAnsiTheme="minorHAnsi" w:cstheme="minorHAnsi"/>
          <w:sz w:val="22"/>
        </w:rPr>
        <w:t>Préciser si les actions sont menées en collaboration avec le Centre PMS, des associations locales et/ou d’autres implantations, et décrire, le cas échéant, ces collaborations.</w:t>
      </w:r>
    </w:p>
    <w:p>
      <w:pPr>
        <w:jc w:val="both"/>
        <w:rPr>
          <w:rFonts w:asciiTheme="minorHAnsi" w:hAnsiTheme="minorHAnsi" w:cstheme="minorHAnsi"/>
          <w:sz w:val="22"/>
        </w:rPr>
      </w:pPr>
      <w:r>
        <w:rPr>
          <w:rFonts w:asciiTheme="minorHAnsi" w:hAnsiTheme="minorHAnsi" w:cstheme="minorHAnsi"/>
          <w:b/>
          <w:sz w:val="22"/>
        </w:rPr>
        <w:t>Pour le rapport de suivi du PGAED (colonnes grisées) à remplir pour le 30 juin de l’année scolaire concernée</w:t>
      </w:r>
      <w:r>
        <w:rPr>
          <w:rFonts w:asciiTheme="minorHAnsi" w:hAnsiTheme="minorHAnsi" w:cstheme="minorHAnsi"/>
          <w:sz w:val="22"/>
        </w:rPr>
        <w:t>, pour chaque action envisagée durant l’année scolaire, indiquer :</w:t>
      </w:r>
    </w:p>
    <w:p>
      <w:pPr>
        <w:ind w:left="708"/>
        <w:jc w:val="both"/>
        <w:rPr>
          <w:rFonts w:asciiTheme="minorHAnsi" w:hAnsiTheme="minorHAnsi" w:cstheme="minorHAnsi"/>
          <w:sz w:val="22"/>
        </w:rPr>
      </w:pPr>
      <w:r>
        <w:rPr>
          <w:rFonts w:asciiTheme="minorHAnsi" w:hAnsiTheme="minorHAnsi" w:cstheme="minorHAnsi"/>
          <w:sz w:val="22"/>
        </w:rPr>
        <w:t>- si elle a été réalisée ou non ;</w:t>
      </w:r>
    </w:p>
    <w:p>
      <w:pPr>
        <w:ind w:left="708"/>
        <w:jc w:val="both"/>
        <w:rPr>
          <w:rFonts w:asciiTheme="minorHAnsi" w:hAnsiTheme="minorHAnsi" w:cstheme="minorHAnsi"/>
          <w:sz w:val="22"/>
        </w:rPr>
      </w:pPr>
      <w:r>
        <w:rPr>
          <w:rFonts w:asciiTheme="minorHAnsi" w:hAnsiTheme="minorHAnsi" w:cstheme="minorHAnsi"/>
          <w:sz w:val="22"/>
        </w:rPr>
        <w:t>- les améliorations constatées ;</w:t>
      </w:r>
    </w:p>
    <w:p>
      <w:pPr>
        <w:spacing w:after="120"/>
        <w:ind w:left="708"/>
        <w:jc w:val="both"/>
        <w:rPr>
          <w:rFonts w:asciiTheme="minorHAnsi" w:hAnsiTheme="minorHAnsi" w:cstheme="minorHAnsi"/>
          <w:sz w:val="22"/>
        </w:rPr>
      </w:pPr>
      <w:r>
        <w:rPr>
          <w:rFonts w:asciiTheme="minorHAnsi" w:hAnsiTheme="minorHAnsi" w:cstheme="minorHAnsi"/>
          <w:sz w:val="22"/>
        </w:rPr>
        <w:t>- les freins rencontrés.</w:t>
      </w:r>
    </w:p>
    <w:p>
      <w:pPr>
        <w:spacing w:after="120"/>
        <w:jc w:val="both"/>
        <w:rPr>
          <w:rFonts w:asciiTheme="minorHAnsi" w:hAnsiTheme="minorHAnsi" w:cstheme="minorHAnsi"/>
          <w:sz w:val="22"/>
          <w:u w:val="single"/>
        </w:rPr>
      </w:pPr>
      <w:r>
        <w:rPr>
          <w:rFonts w:asciiTheme="minorHAnsi" w:hAnsiTheme="minorHAnsi" w:cstheme="minorHAnsi"/>
          <w:sz w:val="22"/>
          <w:u w:val="single"/>
        </w:rPr>
        <w:t>5. Plan de ventilation – Synthèse</w:t>
      </w:r>
    </w:p>
    <w:p>
      <w:pPr>
        <w:spacing w:after="120"/>
        <w:jc w:val="both"/>
        <w:rPr>
          <w:rFonts w:asciiTheme="minorHAnsi" w:hAnsiTheme="minorHAnsi" w:cstheme="minorHAnsi"/>
          <w:sz w:val="22"/>
        </w:rPr>
      </w:pPr>
      <w:r>
        <w:rPr>
          <w:rFonts w:asciiTheme="minorHAnsi" w:hAnsiTheme="minorHAnsi" w:cstheme="minorHAnsi"/>
          <w:sz w:val="22"/>
        </w:rPr>
        <w:t>Afin de faciliter notamment le travail de la vérification et de s’assurer que les moyens octroyés sont utilisés conformément aux utilisations possibles prévues par le décret « Encadrement différencié », il est demandé de compléter chaque année scolaire ce plan de ventilation général (sans détailler la répartition des moyens sur les différents axes et actions décrits ci-avant).</w:t>
      </w:r>
    </w:p>
    <w:p>
      <w:pPr>
        <w:spacing w:after="120"/>
        <w:jc w:val="both"/>
        <w:rPr>
          <w:rFonts w:asciiTheme="minorHAnsi" w:hAnsiTheme="minorHAnsi" w:cstheme="minorHAnsi"/>
          <w:sz w:val="22"/>
        </w:rPr>
      </w:pPr>
      <w:r>
        <w:rPr>
          <w:rFonts w:asciiTheme="minorHAnsi" w:hAnsiTheme="minorHAnsi" w:cstheme="minorHAnsi"/>
          <w:b/>
          <w:sz w:val="22"/>
        </w:rPr>
        <w:t>Pour le PGAED</w:t>
      </w:r>
      <w:r>
        <w:rPr>
          <w:rFonts w:asciiTheme="minorHAnsi" w:hAnsiTheme="minorHAnsi" w:cstheme="minorHAnsi"/>
          <w:sz w:val="22"/>
        </w:rPr>
        <w:t xml:space="preserve"> </w:t>
      </w:r>
      <w:r>
        <w:rPr>
          <w:rFonts w:asciiTheme="minorHAnsi" w:hAnsiTheme="minorHAnsi" w:cstheme="minorHAnsi"/>
          <w:b/>
          <w:sz w:val="22"/>
        </w:rPr>
        <w:t>à remplir pour le 30 juin</w:t>
      </w:r>
      <w:r>
        <w:rPr>
          <w:rStyle w:val="Appelnotedebasdep"/>
          <w:rFonts w:asciiTheme="minorHAnsi" w:hAnsiTheme="minorHAnsi" w:cstheme="minorHAnsi"/>
          <w:b/>
          <w:sz w:val="22"/>
        </w:rPr>
        <w:footnoteReference w:id="11"/>
      </w:r>
      <w:r>
        <w:rPr>
          <w:rFonts w:asciiTheme="minorHAnsi" w:hAnsiTheme="minorHAnsi" w:cstheme="minorHAnsi"/>
          <w:b/>
          <w:sz w:val="22"/>
        </w:rPr>
        <w:t xml:space="preserve"> qui précède l’année scolaire pour laquelle les moyens « encadrement différencié » sont octroyés</w:t>
      </w:r>
      <w:r>
        <w:rPr>
          <w:rFonts w:asciiTheme="minorHAnsi" w:hAnsiTheme="minorHAnsi" w:cstheme="minorHAnsi"/>
          <w:sz w:val="22"/>
        </w:rPr>
        <w:t xml:space="preserve">, remplir les colonnes </w:t>
      </w:r>
      <w:r>
        <w:rPr>
          <w:rFonts w:asciiTheme="minorHAnsi" w:hAnsiTheme="minorHAnsi" w:cstheme="minorHAnsi"/>
          <w:b/>
          <w:sz w:val="22"/>
        </w:rPr>
        <w:t>« Prévu »</w:t>
      </w:r>
      <w:r>
        <w:rPr>
          <w:rFonts w:asciiTheme="minorHAnsi" w:hAnsiTheme="minorHAnsi" w:cstheme="minorHAnsi"/>
          <w:sz w:val="22"/>
        </w:rPr>
        <w:t xml:space="preserve"> des tableaux d’utilisation des périodes et des moyens de fonctionnement.</w:t>
      </w:r>
    </w:p>
    <w:p>
      <w:pPr>
        <w:spacing w:after="120"/>
        <w:jc w:val="both"/>
        <w:rPr>
          <w:rFonts w:asciiTheme="minorHAnsi" w:hAnsiTheme="minorHAnsi" w:cstheme="minorHAnsi"/>
          <w:sz w:val="22"/>
        </w:rPr>
      </w:pPr>
      <w:r>
        <w:rPr>
          <w:rFonts w:asciiTheme="minorHAnsi" w:hAnsiTheme="minorHAnsi" w:cstheme="minorHAnsi"/>
          <w:b/>
          <w:sz w:val="22"/>
        </w:rPr>
        <w:t>Pour le rapport de suivi du PGAED à remplir pour le 30 juin de l’année scolaire concernée</w:t>
      </w:r>
      <w:r>
        <w:rPr>
          <w:rFonts w:asciiTheme="minorHAnsi" w:hAnsiTheme="minorHAnsi" w:cstheme="minorHAnsi"/>
          <w:sz w:val="22"/>
        </w:rPr>
        <w:t xml:space="preserve">, remplir les colonnes </w:t>
      </w:r>
      <w:r>
        <w:rPr>
          <w:rFonts w:asciiTheme="minorHAnsi" w:hAnsiTheme="minorHAnsi" w:cstheme="minorHAnsi"/>
          <w:b/>
          <w:sz w:val="22"/>
        </w:rPr>
        <w:t>« Utilisé »</w:t>
      </w:r>
      <w:r>
        <w:rPr>
          <w:rFonts w:asciiTheme="minorHAnsi" w:hAnsiTheme="minorHAnsi" w:cstheme="minorHAnsi"/>
          <w:sz w:val="22"/>
        </w:rPr>
        <w:t xml:space="preserve"> des tableaux d’utilisation des périodes et des moyens de fonctionnement en indiquant ce qui a été réalisé.</w:t>
      </w:r>
    </w:p>
    <w:p>
      <w:pPr>
        <w:widowControl w:val="0"/>
        <w:spacing w:after="120"/>
        <w:jc w:val="both"/>
        <w:rPr>
          <w:rFonts w:asciiTheme="minorHAnsi" w:hAnsiTheme="minorHAnsi" w:cstheme="minorHAnsi"/>
          <w:sz w:val="22"/>
          <w:u w:val="single"/>
        </w:rPr>
      </w:pPr>
      <w:r>
        <w:rPr>
          <w:rFonts w:asciiTheme="minorHAnsi" w:hAnsiTheme="minorHAnsi" w:cstheme="minorHAnsi"/>
          <w:sz w:val="22"/>
          <w:u w:val="single"/>
        </w:rPr>
        <w:t>6. Approbations, avis et signatures du PGAED</w:t>
      </w:r>
    </w:p>
    <w:p>
      <w:pPr>
        <w:widowControl w:val="0"/>
        <w:spacing w:after="120"/>
        <w:jc w:val="both"/>
        <w:rPr>
          <w:rFonts w:asciiTheme="minorHAnsi" w:hAnsiTheme="minorHAnsi" w:cstheme="minorHAnsi"/>
          <w:sz w:val="22"/>
        </w:rPr>
      </w:pPr>
      <w:r>
        <w:rPr>
          <w:rFonts w:asciiTheme="minorHAnsi" w:hAnsiTheme="minorHAnsi" w:cstheme="minorHAnsi"/>
          <w:sz w:val="22"/>
        </w:rPr>
        <w:t>Partie reprenant les approbations, avis et signatures du Chef d’établissement, du Pouvoir organisateur (pour l’enseignement subventionné), du Secrétaire et du Président du Conseil de Participation, et de l’Organe de Concertation pour la partie du document qui représente le PGAED, à savoir l’ensemble des zones non grisées à remplir pour le 30 juin qui précède l’année scolaire concernée.</w:t>
      </w:r>
    </w:p>
    <w:p>
      <w:pPr>
        <w:widowControl w:val="0"/>
        <w:spacing w:after="120"/>
        <w:jc w:val="both"/>
        <w:rPr>
          <w:rFonts w:asciiTheme="minorHAnsi" w:hAnsiTheme="minorHAnsi" w:cstheme="minorHAnsi"/>
          <w:sz w:val="22"/>
        </w:rPr>
      </w:pPr>
    </w:p>
    <w:p>
      <w:pPr>
        <w:keepNext/>
        <w:spacing w:after="120"/>
        <w:jc w:val="both"/>
        <w:rPr>
          <w:rFonts w:asciiTheme="minorHAnsi" w:hAnsiTheme="minorHAnsi" w:cstheme="minorHAnsi"/>
          <w:sz w:val="22"/>
          <w:u w:val="single"/>
        </w:rPr>
      </w:pPr>
      <w:r>
        <w:rPr>
          <w:rFonts w:asciiTheme="minorHAnsi" w:hAnsiTheme="minorHAnsi" w:cstheme="minorHAnsi"/>
          <w:sz w:val="22"/>
          <w:u w:val="single"/>
        </w:rPr>
        <w:t>7. Approbation, avis et signature du rapport de suivi du PGAED</w:t>
      </w:r>
    </w:p>
    <w:p>
      <w:pPr>
        <w:keepNext/>
        <w:spacing w:after="120"/>
        <w:jc w:val="both"/>
        <w:rPr>
          <w:rFonts w:asciiTheme="minorHAnsi" w:hAnsiTheme="minorHAnsi" w:cstheme="minorHAnsi"/>
          <w:sz w:val="22"/>
          <w:u w:val="single"/>
        </w:rPr>
      </w:pPr>
      <w:r>
        <w:rPr>
          <w:rFonts w:asciiTheme="minorHAnsi" w:hAnsiTheme="minorHAnsi" w:cstheme="minorHAnsi"/>
          <w:sz w:val="22"/>
        </w:rPr>
        <w:t>Partie reprenant les approbations, avis et signatures du Chef d’établissement, du Pouvoir organisateur (pour l’enseignement subventionné), du Secrétaire et du Président du Conseil de Participation, et de l’Organe de Concertation pour la partie du document qui représente le PGAED, à savoir l’ensemble des zones grisées de l’annexe à remplir pour le 30 juin de l’année scolaire concernée.</w:t>
      </w:r>
    </w:p>
    <w:p>
      <w:pPr>
        <w:pStyle w:val="Paragraphedeliste"/>
        <w:keepNext/>
        <w:numPr>
          <w:ilvl w:val="0"/>
          <w:numId w:val="20"/>
        </w:numPr>
        <w:spacing w:before="360" w:after="240"/>
        <w:contextualSpacing w:val="0"/>
        <w:jc w:val="both"/>
        <w:rPr>
          <w:rFonts w:asciiTheme="minorHAnsi" w:hAnsiTheme="minorHAnsi" w:cstheme="minorHAnsi"/>
          <w:b/>
          <w:bCs/>
          <w:sz w:val="28"/>
          <w:szCs w:val="28"/>
          <w:u w:val="single"/>
        </w:rPr>
      </w:pPr>
      <w:r>
        <w:rPr>
          <w:rFonts w:asciiTheme="minorHAnsi" w:hAnsiTheme="minorHAnsi" w:cstheme="minorHAnsi"/>
          <w:b/>
          <w:bCs/>
          <w:sz w:val="28"/>
          <w:szCs w:val="28"/>
          <w:u w:val="single"/>
        </w:rPr>
        <w:t>Contrôle</w:t>
      </w:r>
    </w:p>
    <w:p>
      <w:pPr>
        <w:keepNext/>
        <w:spacing w:after="120"/>
        <w:jc w:val="both"/>
        <w:rPr>
          <w:rFonts w:asciiTheme="minorHAnsi" w:hAnsiTheme="minorHAnsi" w:cstheme="minorHAnsi"/>
          <w:sz w:val="22"/>
        </w:rPr>
      </w:pPr>
      <w:r>
        <w:rPr>
          <w:rFonts w:asciiTheme="minorHAnsi" w:hAnsiTheme="minorHAnsi" w:cstheme="minorHAnsi"/>
          <w:b/>
          <w:sz w:val="22"/>
        </w:rPr>
        <w:t>Le PGAED et le rapport de suivi du PGAED (annexe 1) ne doivent pas être envoyés à l’Administration</w:t>
      </w:r>
      <w:r>
        <w:rPr>
          <w:rFonts w:asciiTheme="minorHAnsi" w:hAnsiTheme="minorHAnsi" w:cstheme="minorHAnsi"/>
          <w:sz w:val="22"/>
        </w:rPr>
        <w:t xml:space="preserve">, mais doivent être </w:t>
      </w:r>
      <w:r>
        <w:rPr>
          <w:rFonts w:asciiTheme="minorHAnsi" w:hAnsiTheme="minorHAnsi" w:cstheme="minorHAnsi"/>
          <w:b/>
          <w:sz w:val="22"/>
        </w:rPr>
        <w:t>tenus à la disposition</w:t>
      </w:r>
      <w:r>
        <w:rPr>
          <w:rFonts w:asciiTheme="minorHAnsi" w:hAnsiTheme="minorHAnsi" w:cstheme="minorHAnsi"/>
          <w:sz w:val="22"/>
        </w:rPr>
        <w:t xml:space="preserve"> </w:t>
      </w:r>
      <w:r>
        <w:rPr>
          <w:rFonts w:asciiTheme="minorHAnsi" w:hAnsiTheme="minorHAnsi" w:cstheme="minorHAnsi"/>
          <w:b/>
          <w:sz w:val="22"/>
        </w:rPr>
        <w:t>des Services du Gouvernement</w:t>
      </w:r>
      <w:r>
        <w:rPr>
          <w:rFonts w:asciiTheme="minorHAnsi" w:hAnsiTheme="minorHAnsi" w:cstheme="minorHAnsi"/>
          <w:sz w:val="22"/>
        </w:rPr>
        <w:t xml:space="preserve"> (Inspection, Vérification comptable, Commission de pilotage…) au siège de l’établissement concerné. Pour l’enseignement subventionné, une copie des documents doit également être tenue à disposition au sein du Pouvoir organisateur. Les Services du Gouvernement, chacun pour ce qui les concerne, peuvent s’assurer de l’adéquation du PGAED et de son rapport de suivi avec le décret du 30 avril 2009 relatif à l’encadrement différencié, et de leur mise en œuvre.  </w:t>
      </w:r>
    </w:p>
    <w:p>
      <w:pPr>
        <w:spacing w:after="120"/>
        <w:jc w:val="both"/>
        <w:rPr>
          <w:sz w:val="23"/>
          <w:szCs w:val="23"/>
        </w:rPr>
      </w:pPr>
      <w:r>
        <w:rPr>
          <w:rFonts w:asciiTheme="minorHAnsi" w:hAnsiTheme="minorHAnsi" w:cstheme="minorHAnsi"/>
          <w:b/>
          <w:sz w:val="22"/>
        </w:rPr>
        <w:t>À cette fin, toutes les pièces justificatives des dépenses effectuées sur le budget « encadrement différencié », y compris les preuves de paiement, sont tenues à disposition, notamment du vérificateur comptable en charge du contrôle de l’établissement.</w:t>
      </w:r>
    </w:p>
    <w:p>
      <w:pPr>
        <w:sectPr>
          <w:headerReference w:type="default" r:id="rId14"/>
          <w:footerReference w:type="default" r:id="rId15"/>
          <w:pgSz w:w="11906" w:h="16838"/>
          <w:pgMar w:top="1418" w:right="1418" w:bottom="993" w:left="1418" w:header="709" w:footer="454" w:gutter="0"/>
          <w:pgNumType w:start="1"/>
          <w:cols w:space="708"/>
          <w:docGrid w:linePitch="360"/>
        </w:sectPr>
      </w:pPr>
    </w:p>
    <w:p>
      <w:pPr>
        <w:jc w:val="center"/>
        <w:rPr>
          <w:rFonts w:asciiTheme="minorHAnsi" w:hAnsiTheme="minorHAnsi" w:cstheme="minorHAnsi"/>
          <w:b/>
        </w:rPr>
      </w:pPr>
      <w:r>
        <w:rPr>
          <w:rFonts w:asciiTheme="minorHAnsi" w:hAnsiTheme="minorHAnsi" w:cstheme="minorHAnsi"/>
          <w:b/>
        </w:rPr>
        <w:t>Annexe 1: Projet Général d’Action d’Encadrement Différencié (PGAED)</w:t>
      </w:r>
    </w:p>
    <w:p>
      <w:pPr>
        <w:jc w:val="center"/>
        <w:rPr>
          <w:rFonts w:asciiTheme="minorHAnsi" w:hAnsiTheme="minorHAnsi" w:cstheme="minorHAnsi"/>
          <w:b/>
        </w:rPr>
      </w:pPr>
      <w:r>
        <w:rPr>
          <w:rFonts w:asciiTheme="minorHAnsi" w:hAnsiTheme="minorHAnsi" w:cstheme="minorHAnsi"/>
          <w:b/>
        </w:rPr>
        <w:t>Secondaire ordinaire</w:t>
      </w:r>
    </w:p>
    <w:p>
      <w:pPr>
        <w:jc w:val="center"/>
        <w:rPr>
          <w:rFonts w:asciiTheme="minorHAnsi" w:hAnsiTheme="minorHAnsi" w:cstheme="minorHAnsi"/>
        </w:rPr>
      </w:pPr>
      <w:r>
        <w:rPr>
          <w:rFonts w:asciiTheme="minorHAnsi" w:hAnsiTheme="minorHAnsi" w:cstheme="minorHAnsi"/>
          <w:b/>
        </w:rPr>
        <w:t>Année scolaire 20…. – 20….</w:t>
      </w:r>
    </w:p>
    <w:p>
      <w:pPr>
        <w:spacing w:before="120"/>
        <w:jc w:val="both"/>
        <w:rPr>
          <w:rFonts w:asciiTheme="minorHAnsi" w:hAnsiTheme="minorHAnsi" w:cstheme="minorHAnsi"/>
          <w:sz w:val="22"/>
        </w:rPr>
      </w:pPr>
      <w:r>
        <w:rPr>
          <w:rFonts w:asciiTheme="minorHAnsi" w:hAnsiTheme="minorHAnsi" w:cstheme="minorHAnsi"/>
          <w:sz w:val="22"/>
        </w:rPr>
        <w:t>Un document à compléter par implantation bénéficiaire.</w:t>
      </w:r>
    </w:p>
    <w:p>
      <w:pPr>
        <w:spacing w:after="240"/>
        <w:jc w:val="both"/>
        <w:rPr>
          <w:rFonts w:asciiTheme="minorHAnsi" w:hAnsiTheme="minorHAnsi" w:cstheme="minorHAnsi"/>
        </w:rPr>
      </w:pPr>
      <w:r>
        <w:rPr>
          <w:rFonts w:asciiTheme="minorHAnsi" w:hAnsiTheme="minorHAnsi" w:cstheme="minorHAnsi"/>
          <w:sz w:val="22"/>
        </w:rPr>
        <w:t xml:space="preserve">Les éléments non grisés représentent le PGAED à remplir pour le 30 juin précédant l’année scolaire concernée. Les zones grisées sont les éléments du rapport de suivi du PGAED à remplir pour le </w:t>
      </w:r>
      <w:r>
        <w:rPr>
          <w:rFonts w:asciiTheme="minorHAnsi" w:hAnsiTheme="minorHAnsi" w:cstheme="minorHAnsi"/>
          <w:sz w:val="22"/>
        </w:rPr>
        <w:br/>
        <w:t>30 juin de l’année scolaire concernée.</w:t>
      </w:r>
    </w:p>
    <w:p>
      <w:pPr>
        <w:rPr>
          <w:rFonts w:asciiTheme="minorHAnsi" w:hAnsiTheme="minorHAnsi" w:cstheme="minorHAnsi"/>
          <w:szCs w:val="22"/>
        </w:rPr>
      </w:pPr>
      <w:r>
        <w:rPr>
          <w:rFonts w:asciiTheme="minorHAnsi" w:hAnsiTheme="minorHAnsi" w:cstheme="minorHAnsi"/>
          <w:szCs w:val="22"/>
          <w:u w:val="single"/>
        </w:rPr>
        <w:t>1. Identification de l’implantation concernée</w:t>
      </w:r>
    </w:p>
    <w:p>
      <w:pPr>
        <w:spacing w:before="120"/>
        <w:rPr>
          <w:rFonts w:asciiTheme="minorHAnsi" w:hAnsiTheme="minorHAnsi" w:cstheme="minorHAnsi"/>
          <w:sz w:val="22"/>
          <w:szCs w:val="22"/>
        </w:rPr>
      </w:pPr>
      <w:r>
        <w:rPr>
          <w:rFonts w:asciiTheme="minorHAnsi" w:hAnsiTheme="minorHAnsi" w:cstheme="minorHAnsi"/>
          <w:sz w:val="22"/>
          <w:szCs w:val="22"/>
        </w:rPr>
        <w:t>Coordonnées du Pouvoir organisateur (pour les établissements de l’enseignement subventionné)</w:t>
      </w:r>
    </w:p>
    <w:tbl>
      <w:tblPr>
        <w:tblStyle w:val="Grilledutableau"/>
        <w:tblW w:w="0" w:type="auto"/>
        <w:tblBorders>
          <w:insideH w:val="none" w:sz="0" w:space="0" w:color="auto"/>
          <w:insideV w:val="none" w:sz="0" w:space="0" w:color="auto"/>
        </w:tblBorders>
        <w:tblLook w:val="04A0" w:firstRow="1" w:lastRow="0" w:firstColumn="1" w:lastColumn="0" w:noHBand="0" w:noVBand="1"/>
      </w:tblPr>
      <w:tblGrid>
        <w:gridCol w:w="9212"/>
      </w:tblGrid>
      <w:tr>
        <w:tc>
          <w:tcPr>
            <w:tcW w:w="9212" w:type="dxa"/>
          </w:tcPr>
          <w:p>
            <w:pPr>
              <w:pBdr>
                <w:top w:val="single" w:sz="4" w:space="1" w:color="auto"/>
                <w:left w:val="single" w:sz="4" w:space="4" w:color="auto"/>
                <w:bottom w:val="single" w:sz="4" w:space="6" w:color="auto"/>
                <w:right w:val="single" w:sz="4" w:space="4" w:color="auto"/>
              </w:pBdr>
              <w:rPr>
                <w:rFonts w:asciiTheme="minorHAnsi" w:hAnsiTheme="minorHAnsi" w:cstheme="minorHAnsi"/>
                <w:sz w:val="22"/>
                <w:szCs w:val="22"/>
              </w:rPr>
            </w:pPr>
            <w:r>
              <w:rPr>
                <w:rFonts w:asciiTheme="minorHAnsi" w:hAnsiTheme="minorHAnsi" w:cstheme="minorHAnsi"/>
                <w:sz w:val="22"/>
                <w:szCs w:val="22"/>
              </w:rPr>
              <w:t>Nom du Pouvoir organisateur :………………………………………………………………………………………………………</w:t>
            </w:r>
          </w:p>
          <w:p>
            <w:pPr>
              <w:pBdr>
                <w:top w:val="single" w:sz="4" w:space="1" w:color="auto"/>
                <w:left w:val="single" w:sz="4" w:space="4" w:color="auto"/>
                <w:bottom w:val="single" w:sz="4" w:space="6" w:color="auto"/>
                <w:right w:val="single" w:sz="4" w:space="4" w:color="auto"/>
              </w:pBdr>
              <w:rPr>
                <w:rFonts w:asciiTheme="minorHAnsi" w:hAnsiTheme="minorHAnsi" w:cstheme="minorHAnsi"/>
                <w:sz w:val="22"/>
                <w:szCs w:val="22"/>
              </w:rPr>
            </w:pPr>
            <w:r>
              <w:rPr>
                <w:rFonts w:asciiTheme="minorHAnsi" w:hAnsiTheme="minorHAnsi" w:cstheme="minorHAnsi"/>
                <w:sz w:val="22"/>
                <w:szCs w:val="22"/>
              </w:rPr>
              <w:t>Nom du Responsable du Pouvoir organisateur</w:t>
            </w:r>
            <w:r>
              <w:rPr>
                <w:rStyle w:val="Appelnotedebasdep"/>
                <w:rFonts w:asciiTheme="minorHAnsi" w:hAnsiTheme="minorHAnsi" w:cstheme="minorHAnsi"/>
                <w:sz w:val="22"/>
                <w:szCs w:val="22"/>
              </w:rPr>
              <w:footnoteReference w:id="12"/>
            </w:r>
            <w:r>
              <w:rPr>
                <w:rFonts w:asciiTheme="minorHAnsi" w:hAnsiTheme="minorHAnsi" w:cstheme="minorHAnsi"/>
                <w:sz w:val="22"/>
                <w:szCs w:val="22"/>
              </w:rPr>
              <w:t> :……………………………………………………………………………</w:t>
            </w:r>
          </w:p>
        </w:tc>
      </w:tr>
    </w:tbl>
    <w:p>
      <w:pPr>
        <w:spacing w:before="120"/>
        <w:rPr>
          <w:rFonts w:asciiTheme="minorHAnsi" w:hAnsiTheme="minorHAnsi" w:cstheme="minorHAnsi"/>
          <w:sz w:val="22"/>
          <w:szCs w:val="22"/>
        </w:rPr>
      </w:pPr>
      <w:r>
        <w:rPr>
          <w:rFonts w:asciiTheme="minorHAnsi" w:hAnsiTheme="minorHAnsi" w:cstheme="minorHAnsi"/>
          <w:sz w:val="22"/>
          <w:szCs w:val="22"/>
        </w:rPr>
        <w:t>Coordonnées de l’établissement</w:t>
      </w:r>
    </w:p>
    <w:tbl>
      <w:tblPr>
        <w:tblStyle w:val="Grilledutableau"/>
        <w:tblW w:w="0" w:type="auto"/>
        <w:tblLook w:val="04A0" w:firstRow="1" w:lastRow="0" w:firstColumn="1" w:lastColumn="0" w:noHBand="0" w:noVBand="1"/>
      </w:tblPr>
      <w:tblGrid>
        <w:gridCol w:w="9212"/>
      </w:tblGrid>
      <w:tr>
        <w:tc>
          <w:tcPr>
            <w:tcW w:w="9212" w:type="dxa"/>
          </w:tcPr>
          <w:p>
            <w:pPr>
              <w:spacing w:before="120"/>
              <w:rPr>
                <w:rFonts w:asciiTheme="minorHAnsi" w:hAnsiTheme="minorHAnsi" w:cstheme="minorHAnsi"/>
                <w:sz w:val="22"/>
                <w:szCs w:val="22"/>
              </w:rPr>
            </w:pPr>
            <w:r>
              <w:rPr>
                <w:rFonts w:asciiTheme="minorHAnsi" w:hAnsiTheme="minorHAnsi" w:cstheme="minorHAnsi"/>
                <w:sz w:val="22"/>
                <w:szCs w:val="22"/>
              </w:rPr>
              <w:t>N° FASE de l’établissement :…………………………………………………………………………………………………………..</w:t>
            </w:r>
          </w:p>
          <w:p>
            <w:pPr>
              <w:rPr>
                <w:rFonts w:asciiTheme="minorHAnsi" w:hAnsiTheme="minorHAnsi" w:cstheme="minorHAnsi"/>
                <w:sz w:val="22"/>
                <w:szCs w:val="22"/>
              </w:rPr>
            </w:pPr>
            <w:r>
              <w:rPr>
                <w:rFonts w:asciiTheme="minorHAnsi" w:hAnsiTheme="minorHAnsi" w:cstheme="minorHAnsi"/>
                <w:sz w:val="22"/>
                <w:szCs w:val="22"/>
              </w:rPr>
              <w:t>Nom de l’établissement :………………………………………………………………………………………………………………..</w:t>
            </w:r>
          </w:p>
          <w:p>
            <w:pPr>
              <w:rPr>
                <w:rFonts w:asciiTheme="minorHAnsi" w:hAnsiTheme="minorHAnsi" w:cstheme="minorHAnsi"/>
                <w:sz w:val="22"/>
                <w:szCs w:val="22"/>
              </w:rPr>
            </w:pPr>
            <w:r>
              <w:rPr>
                <w:rFonts w:asciiTheme="minorHAnsi" w:hAnsiTheme="minorHAnsi" w:cstheme="minorHAnsi"/>
                <w:sz w:val="22"/>
                <w:szCs w:val="22"/>
              </w:rPr>
              <w:t>Adresse de l’établissement :…………………………………………………………………………………………………………..</w:t>
            </w:r>
          </w:p>
          <w:p>
            <w:pPr>
              <w:rPr>
                <w:rFonts w:asciiTheme="minorHAnsi" w:hAnsiTheme="minorHAnsi" w:cstheme="minorHAnsi"/>
                <w:sz w:val="22"/>
                <w:szCs w:val="22"/>
              </w:rPr>
            </w:pPr>
            <w:r>
              <w:rPr>
                <w:rFonts w:asciiTheme="minorHAnsi" w:hAnsiTheme="minorHAnsi" w:cstheme="minorHAnsi"/>
                <w:sz w:val="22"/>
                <w:szCs w:val="22"/>
              </w:rPr>
              <w:t>Code postal :………………………………  Localité :………………………………………………………………………………….</w:t>
            </w:r>
          </w:p>
          <w:p>
            <w:pPr>
              <w:rPr>
                <w:rFonts w:asciiTheme="minorHAnsi" w:hAnsiTheme="minorHAnsi" w:cstheme="minorHAnsi"/>
                <w:sz w:val="22"/>
                <w:szCs w:val="22"/>
              </w:rPr>
            </w:pPr>
            <w:r>
              <w:rPr>
                <w:rFonts w:asciiTheme="minorHAnsi" w:hAnsiTheme="minorHAnsi" w:cstheme="minorHAnsi"/>
                <w:sz w:val="22"/>
                <w:szCs w:val="22"/>
              </w:rPr>
              <w:t>Nom du chef d’établissement :……………………………………………………………………………………………………….</w:t>
            </w:r>
          </w:p>
          <w:p>
            <w:pPr>
              <w:spacing w:after="120"/>
              <w:rPr>
                <w:rFonts w:asciiTheme="minorHAnsi" w:hAnsiTheme="minorHAnsi" w:cstheme="minorHAnsi"/>
                <w:sz w:val="22"/>
                <w:szCs w:val="22"/>
              </w:rPr>
            </w:pPr>
            <w:r>
              <w:rPr>
                <w:rFonts w:asciiTheme="minorHAnsi" w:hAnsiTheme="minorHAnsi" w:cstheme="minorHAnsi"/>
                <w:sz w:val="22"/>
                <w:szCs w:val="22"/>
              </w:rPr>
              <w:t>Téléphone :………………………………………………..  Fax :…………………………………………………………………………</w:t>
            </w:r>
          </w:p>
        </w:tc>
      </w:tr>
    </w:tbl>
    <w:p>
      <w:pPr>
        <w:spacing w:before="120"/>
        <w:rPr>
          <w:rFonts w:asciiTheme="minorHAnsi" w:hAnsiTheme="minorHAnsi" w:cstheme="minorHAnsi"/>
          <w:sz w:val="22"/>
          <w:szCs w:val="22"/>
        </w:rPr>
      </w:pPr>
      <w:r>
        <w:rPr>
          <w:rFonts w:asciiTheme="minorHAnsi" w:hAnsiTheme="minorHAnsi" w:cstheme="minorHAnsi"/>
          <w:sz w:val="22"/>
          <w:szCs w:val="22"/>
        </w:rPr>
        <w:t>Coordonnées de l’implantation concernée</w:t>
      </w:r>
    </w:p>
    <w:p>
      <w:pPr>
        <w:pBdr>
          <w:top w:val="single" w:sz="4" w:space="5" w:color="auto"/>
          <w:left w:val="single" w:sz="4" w:space="4" w:color="auto"/>
          <w:bottom w:val="single" w:sz="4" w:space="1" w:color="auto"/>
          <w:right w:val="single" w:sz="4" w:space="0" w:color="auto"/>
        </w:pBdr>
        <w:rPr>
          <w:rFonts w:asciiTheme="minorHAnsi" w:hAnsiTheme="minorHAnsi" w:cstheme="minorHAnsi"/>
          <w:sz w:val="22"/>
          <w:szCs w:val="22"/>
        </w:rPr>
      </w:pPr>
      <w:r>
        <w:rPr>
          <w:rFonts w:asciiTheme="minorHAnsi" w:hAnsiTheme="minorHAnsi" w:cstheme="minorHAnsi"/>
          <w:b/>
          <w:sz w:val="22"/>
          <w:szCs w:val="22"/>
        </w:rPr>
        <w:t>N° FASE de l’implantation</w:t>
      </w:r>
      <w:r>
        <w:rPr>
          <w:rFonts w:asciiTheme="minorHAnsi" w:hAnsiTheme="minorHAnsi" w:cstheme="minorHAnsi"/>
          <w:sz w:val="22"/>
          <w:szCs w:val="22"/>
        </w:rPr>
        <w:t> :………………………………………………………………………………………………………………..</w:t>
      </w:r>
    </w:p>
    <w:p>
      <w:pPr>
        <w:pBdr>
          <w:top w:val="single" w:sz="4" w:space="5" w:color="auto"/>
          <w:left w:val="single" w:sz="4" w:space="4" w:color="auto"/>
          <w:bottom w:val="single" w:sz="4" w:space="1" w:color="auto"/>
          <w:right w:val="single" w:sz="4" w:space="0" w:color="auto"/>
        </w:pBdr>
        <w:rPr>
          <w:rFonts w:asciiTheme="minorHAnsi" w:hAnsiTheme="minorHAnsi" w:cstheme="minorHAnsi"/>
          <w:sz w:val="22"/>
          <w:szCs w:val="22"/>
        </w:rPr>
      </w:pPr>
      <w:r>
        <w:rPr>
          <w:rFonts w:asciiTheme="minorHAnsi" w:hAnsiTheme="minorHAnsi" w:cstheme="minorHAnsi"/>
          <w:sz w:val="22"/>
          <w:szCs w:val="22"/>
        </w:rPr>
        <w:t>Adresse de l’implantation :………………………………………………………………………………………………………………..</w:t>
      </w:r>
    </w:p>
    <w:p>
      <w:pPr>
        <w:pBdr>
          <w:top w:val="single" w:sz="4" w:space="5" w:color="auto"/>
          <w:left w:val="single" w:sz="4" w:space="4" w:color="auto"/>
          <w:bottom w:val="single" w:sz="4" w:space="1" w:color="auto"/>
          <w:right w:val="single" w:sz="4" w:space="0" w:color="auto"/>
        </w:pBdr>
        <w:rPr>
          <w:rFonts w:asciiTheme="minorHAnsi" w:hAnsiTheme="minorHAnsi" w:cstheme="minorHAnsi"/>
          <w:sz w:val="22"/>
          <w:szCs w:val="22"/>
        </w:rPr>
      </w:pPr>
      <w:r>
        <w:rPr>
          <w:rFonts w:asciiTheme="minorHAnsi" w:hAnsiTheme="minorHAnsi" w:cstheme="minorHAnsi"/>
          <w:sz w:val="22"/>
          <w:szCs w:val="22"/>
        </w:rPr>
        <w:t>Code postal :………………………………  Localité :……………………………………………………………………………………..</w:t>
      </w:r>
    </w:p>
    <w:p>
      <w:pPr>
        <w:pBdr>
          <w:top w:val="single" w:sz="4" w:space="5" w:color="auto"/>
          <w:left w:val="single" w:sz="4" w:space="4" w:color="auto"/>
          <w:bottom w:val="single" w:sz="4" w:space="1" w:color="auto"/>
          <w:right w:val="single" w:sz="4" w:space="0" w:color="auto"/>
        </w:pBdr>
        <w:spacing w:after="120"/>
        <w:rPr>
          <w:rFonts w:asciiTheme="minorHAnsi" w:hAnsiTheme="minorHAnsi" w:cstheme="minorHAnsi"/>
          <w:sz w:val="22"/>
          <w:szCs w:val="22"/>
        </w:rPr>
      </w:pPr>
      <w:r>
        <w:rPr>
          <w:rFonts w:asciiTheme="minorHAnsi" w:hAnsiTheme="minorHAnsi" w:cstheme="minorHAnsi"/>
          <w:sz w:val="22"/>
          <w:szCs w:val="22"/>
        </w:rPr>
        <w:t>Classe de l’encadrement différencié :………………………………………………………………………………………………..</w:t>
      </w:r>
    </w:p>
    <w:p>
      <w:pPr>
        <w:spacing w:before="240" w:after="120"/>
        <w:rPr>
          <w:rFonts w:asciiTheme="minorHAnsi" w:hAnsiTheme="minorHAnsi" w:cstheme="minorHAnsi"/>
          <w:szCs w:val="22"/>
          <w:u w:val="single"/>
        </w:rPr>
      </w:pPr>
      <w:r>
        <w:rPr>
          <w:rFonts w:asciiTheme="minorHAnsi" w:hAnsiTheme="minorHAnsi" w:cstheme="minorHAnsi"/>
          <w:szCs w:val="22"/>
          <w:u w:val="single"/>
        </w:rPr>
        <w:t>2. Moyens complémentaires octroyés dans le cadre de l’encadrement différencié²</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28"/>
        <w:gridCol w:w="2550"/>
      </w:tblGrid>
      <w:tr>
        <w:trPr>
          <w:trHeight w:val="413"/>
        </w:trPr>
        <w:tc>
          <w:tcPr>
            <w:tcW w:w="3611" w:type="pct"/>
            <w:shd w:val="clear" w:color="auto" w:fill="auto"/>
            <w:vAlign w:val="bottom"/>
          </w:tcPr>
          <w:p>
            <w:pPr>
              <w:spacing w:before="120"/>
              <w:rPr>
                <w:rFonts w:asciiTheme="minorHAnsi" w:hAnsiTheme="minorHAnsi" w:cstheme="minorHAnsi"/>
                <w:b/>
                <w:sz w:val="22"/>
                <w:szCs w:val="22"/>
              </w:rPr>
            </w:pPr>
            <w:r>
              <w:rPr>
                <w:rFonts w:asciiTheme="minorHAnsi" w:hAnsiTheme="minorHAnsi" w:cstheme="minorHAnsi"/>
                <w:b/>
                <w:sz w:val="22"/>
                <w:szCs w:val="22"/>
              </w:rPr>
              <w:t>Moyens humains</w:t>
            </w:r>
          </w:p>
        </w:tc>
        <w:tc>
          <w:tcPr>
            <w:tcW w:w="1389" w:type="pct"/>
            <w:shd w:val="clear" w:color="auto" w:fill="auto"/>
            <w:vAlign w:val="bottom"/>
          </w:tcPr>
          <w:p>
            <w:pPr>
              <w:spacing w:before="120"/>
              <w:jc w:val="right"/>
              <w:rPr>
                <w:rFonts w:asciiTheme="minorHAnsi" w:hAnsiTheme="minorHAnsi" w:cstheme="minorHAnsi"/>
                <w:b/>
                <w:sz w:val="22"/>
                <w:szCs w:val="22"/>
              </w:rPr>
            </w:pPr>
            <w:r>
              <w:rPr>
                <w:rFonts w:asciiTheme="minorHAnsi" w:hAnsiTheme="minorHAnsi" w:cstheme="minorHAnsi"/>
                <w:b/>
                <w:sz w:val="22"/>
                <w:szCs w:val="22"/>
              </w:rPr>
              <w:t>…………………. périodes</w:t>
            </w:r>
          </w:p>
        </w:tc>
      </w:tr>
      <w:tr>
        <w:trPr>
          <w:trHeight w:val="1157"/>
        </w:trPr>
        <w:tc>
          <w:tcPr>
            <w:tcW w:w="3611" w:type="pct"/>
            <w:shd w:val="clear" w:color="auto" w:fill="auto"/>
          </w:tcPr>
          <w:p>
            <w:pPr>
              <w:spacing w:before="80"/>
              <w:rPr>
                <w:rFonts w:asciiTheme="minorHAnsi" w:hAnsiTheme="minorHAnsi" w:cstheme="minorHAnsi"/>
                <w:sz w:val="22"/>
                <w:szCs w:val="22"/>
              </w:rPr>
            </w:pPr>
            <w:r>
              <w:rPr>
                <w:rFonts w:asciiTheme="minorHAnsi" w:hAnsiTheme="minorHAnsi" w:cstheme="minorHAnsi"/>
                <w:sz w:val="22"/>
                <w:szCs w:val="22"/>
              </w:rPr>
              <w:t>Moyens de fonctionnement reçus pour l’année scolaire concernée (1)</w:t>
            </w:r>
          </w:p>
          <w:p>
            <w:pPr>
              <w:spacing w:before="80"/>
              <w:rPr>
                <w:rFonts w:asciiTheme="minorHAnsi" w:hAnsiTheme="minorHAnsi" w:cstheme="minorHAnsi"/>
                <w:sz w:val="22"/>
                <w:szCs w:val="22"/>
              </w:rPr>
            </w:pPr>
            <w:r>
              <w:rPr>
                <w:rFonts w:asciiTheme="minorHAnsi" w:hAnsiTheme="minorHAnsi" w:cstheme="minorHAnsi"/>
                <w:sz w:val="22"/>
                <w:szCs w:val="22"/>
              </w:rPr>
              <w:t>Solde reporté de l’année antérieure (2)</w:t>
            </w:r>
          </w:p>
          <w:p>
            <w:pPr>
              <w:spacing w:before="80"/>
              <w:rPr>
                <w:rFonts w:asciiTheme="minorHAnsi" w:hAnsiTheme="minorHAnsi" w:cstheme="minorHAnsi"/>
                <w:b/>
                <w:sz w:val="22"/>
                <w:szCs w:val="22"/>
              </w:rPr>
            </w:pPr>
            <w:r>
              <w:rPr>
                <w:rFonts w:asciiTheme="minorHAnsi" w:hAnsiTheme="minorHAnsi" w:cstheme="minorHAnsi"/>
                <w:b/>
                <w:sz w:val="22"/>
                <w:szCs w:val="22"/>
              </w:rPr>
              <w:t>Total disponible (1) + (2)</w:t>
            </w:r>
          </w:p>
        </w:tc>
        <w:tc>
          <w:tcPr>
            <w:tcW w:w="1389" w:type="pct"/>
            <w:shd w:val="clear" w:color="auto" w:fill="auto"/>
          </w:tcPr>
          <w:p>
            <w:pPr>
              <w:spacing w:before="80"/>
              <w:jc w:val="right"/>
              <w:rPr>
                <w:rFonts w:asciiTheme="minorHAnsi" w:hAnsiTheme="minorHAnsi" w:cstheme="minorHAnsi"/>
                <w:sz w:val="22"/>
                <w:szCs w:val="22"/>
              </w:rPr>
            </w:pPr>
            <w:r>
              <w:rPr>
                <w:rFonts w:asciiTheme="minorHAnsi" w:hAnsiTheme="minorHAnsi" w:cstheme="minorHAnsi"/>
                <w:sz w:val="22"/>
                <w:szCs w:val="22"/>
              </w:rPr>
              <w:t>……………………………… €</w:t>
            </w:r>
          </w:p>
          <w:p>
            <w:pPr>
              <w:spacing w:before="80"/>
              <w:jc w:val="right"/>
              <w:rPr>
                <w:rFonts w:asciiTheme="minorHAnsi" w:hAnsiTheme="minorHAnsi" w:cstheme="minorHAnsi"/>
                <w:sz w:val="22"/>
                <w:szCs w:val="22"/>
              </w:rPr>
            </w:pPr>
            <w:r>
              <w:rPr>
                <w:rFonts w:asciiTheme="minorHAnsi" w:hAnsiTheme="minorHAnsi" w:cstheme="minorHAnsi"/>
                <w:sz w:val="22"/>
                <w:szCs w:val="22"/>
              </w:rPr>
              <w:t>……………………………….€</w:t>
            </w:r>
          </w:p>
          <w:p>
            <w:pPr>
              <w:spacing w:before="80"/>
              <w:jc w:val="right"/>
              <w:rPr>
                <w:rFonts w:asciiTheme="minorHAnsi" w:hAnsiTheme="minorHAnsi" w:cstheme="minorHAnsi"/>
                <w:b/>
                <w:sz w:val="22"/>
                <w:szCs w:val="22"/>
              </w:rPr>
            </w:pPr>
            <w:r>
              <w:rPr>
                <w:rFonts w:asciiTheme="minorHAnsi" w:hAnsiTheme="minorHAnsi" w:cstheme="minorHAnsi"/>
                <w:b/>
                <w:sz w:val="22"/>
                <w:szCs w:val="22"/>
              </w:rPr>
              <w:t>……………………………….€</w:t>
            </w:r>
          </w:p>
        </w:tc>
      </w:tr>
    </w:tbl>
    <w:p>
      <w:pPr>
        <w:spacing w:before="240" w:after="120"/>
        <w:rPr>
          <w:rFonts w:asciiTheme="minorHAnsi" w:hAnsiTheme="minorHAnsi" w:cstheme="minorHAnsi"/>
          <w:szCs w:val="22"/>
          <w:u w:val="single"/>
        </w:rPr>
      </w:pPr>
      <w:r>
        <w:rPr>
          <w:rFonts w:asciiTheme="minorHAnsi" w:hAnsiTheme="minorHAnsi" w:cstheme="minorHAnsi"/>
          <w:szCs w:val="22"/>
          <w:u w:val="single"/>
        </w:rPr>
        <w:t>3. Informations et indicateurs</w:t>
      </w:r>
      <w:r>
        <w:rPr>
          <w:rStyle w:val="Appelnotedebasdep"/>
          <w:rFonts w:asciiTheme="minorHAnsi" w:hAnsiTheme="minorHAnsi" w:cstheme="minorHAnsi"/>
          <w:szCs w:val="22"/>
          <w:u w:val="single"/>
        </w:rPr>
        <w:footnoteReference w:id="13"/>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trPr>
          <w:trHeight w:val="555"/>
        </w:trPr>
        <w:tc>
          <w:tcPr>
            <w:tcW w:w="9212" w:type="dxa"/>
            <w:shd w:val="clear" w:color="auto" w:fill="auto"/>
            <w:vAlign w:val="center"/>
          </w:tcPr>
          <w:p>
            <w:pPr>
              <w:rPr>
                <w:rFonts w:asciiTheme="minorHAnsi" w:hAnsiTheme="minorHAnsi" w:cstheme="minorHAnsi"/>
                <w:sz w:val="22"/>
                <w:szCs w:val="22"/>
                <w:lang w:eastAsia="fr-BE"/>
              </w:rPr>
            </w:pPr>
            <w:r>
              <w:rPr>
                <w:rFonts w:asciiTheme="minorHAnsi" w:hAnsiTheme="minorHAnsi" w:cstheme="minorHAnsi"/>
                <w:b/>
                <w:bCs/>
                <w:sz w:val="22"/>
                <w:szCs w:val="22"/>
                <w:lang w:eastAsia="fr-BE"/>
              </w:rPr>
              <w:t>Projet d'établissement :</w:t>
            </w:r>
            <w:r>
              <w:rPr>
                <w:rFonts w:asciiTheme="minorHAnsi" w:hAnsiTheme="minorHAnsi" w:cstheme="minorHAnsi"/>
                <w:sz w:val="22"/>
                <w:szCs w:val="22"/>
                <w:lang w:eastAsia="fr-BE"/>
              </w:rPr>
              <w:t xml:space="preserve"> éléments tirés du projet d'établissement et éléments d’information extraits du rapport d’activités en lien avec les actions envisagées</w:t>
            </w:r>
          </w:p>
        </w:tc>
      </w:tr>
      <w:tr>
        <w:trPr>
          <w:trHeight w:val="2126"/>
        </w:trPr>
        <w:tc>
          <w:tcPr>
            <w:tcW w:w="9212" w:type="dxa"/>
            <w:shd w:val="clear" w:color="auto" w:fill="auto"/>
          </w:tcPr>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p>
            <w:pPr>
              <w:rPr>
                <w:rFonts w:asciiTheme="minorHAnsi" w:hAnsiTheme="minorHAnsi" w:cstheme="minorHAnsi"/>
                <w:b/>
                <w:bCs/>
                <w:sz w:val="22"/>
                <w:szCs w:val="22"/>
                <w:lang w:eastAsia="fr-BE"/>
              </w:rPr>
            </w:pPr>
          </w:p>
          <w:p>
            <w:pPr>
              <w:rPr>
                <w:rFonts w:asciiTheme="minorHAnsi" w:hAnsiTheme="minorHAnsi" w:cstheme="minorHAnsi"/>
                <w:b/>
                <w:bCs/>
                <w:sz w:val="22"/>
                <w:szCs w:val="22"/>
                <w:lang w:eastAsia="fr-BE"/>
              </w:rPr>
            </w:pPr>
          </w:p>
          <w:p>
            <w:pPr>
              <w:rPr>
                <w:rFonts w:asciiTheme="minorHAnsi" w:hAnsiTheme="minorHAnsi" w:cstheme="minorHAnsi"/>
                <w:b/>
                <w:bCs/>
                <w:sz w:val="22"/>
                <w:szCs w:val="22"/>
                <w:lang w:eastAsia="fr-BE"/>
              </w:rPr>
            </w:pPr>
          </w:p>
        </w:tc>
      </w:tr>
      <w:tr>
        <w:trPr>
          <w:trHeight w:val="425"/>
        </w:trPr>
        <w:tc>
          <w:tcPr>
            <w:tcW w:w="9212" w:type="dxa"/>
            <w:shd w:val="clear" w:color="auto" w:fill="auto"/>
            <w:vAlign w:val="center"/>
          </w:tcPr>
          <w:p>
            <w:pPr>
              <w:rPr>
                <w:rFonts w:asciiTheme="minorHAnsi" w:hAnsiTheme="minorHAnsi" w:cstheme="minorHAnsi"/>
                <w:b/>
                <w:bCs/>
                <w:szCs w:val="22"/>
                <w:lang w:eastAsia="fr-BE"/>
              </w:rPr>
            </w:pPr>
            <w:r>
              <w:rPr>
                <w:rFonts w:asciiTheme="minorHAnsi" w:hAnsiTheme="minorHAnsi" w:cstheme="minorHAnsi"/>
                <w:b/>
                <w:bCs/>
                <w:szCs w:val="22"/>
                <w:lang w:eastAsia="fr-BE"/>
              </w:rPr>
              <w:t>Mesures objectives :</w:t>
            </w:r>
          </w:p>
        </w:tc>
      </w:tr>
      <w:tr>
        <w:trPr>
          <w:trHeight w:val="315"/>
        </w:trPr>
        <w:tc>
          <w:tcPr>
            <w:tcW w:w="9212" w:type="dxa"/>
            <w:shd w:val="clear" w:color="auto" w:fill="auto"/>
            <w:vAlign w:val="center"/>
          </w:tcPr>
          <w:p>
            <w:pPr>
              <w:rPr>
                <w:rFonts w:asciiTheme="minorHAnsi" w:hAnsiTheme="minorHAnsi" w:cstheme="minorHAnsi"/>
                <w:sz w:val="22"/>
                <w:szCs w:val="22"/>
                <w:lang w:eastAsia="fr-BE"/>
              </w:rPr>
            </w:pPr>
            <w:r>
              <w:rPr>
                <w:rFonts w:asciiTheme="minorHAnsi" w:hAnsiTheme="minorHAnsi" w:cstheme="minorHAnsi"/>
                <w:sz w:val="22"/>
                <w:szCs w:val="22"/>
                <w:lang w:eastAsia="fr-BE"/>
              </w:rPr>
              <w:t xml:space="preserve">● Constats issus des évaluations internes et externes, certificatives ou non certificatives : </w:t>
            </w:r>
          </w:p>
        </w:tc>
      </w:tr>
      <w:tr>
        <w:trPr>
          <w:trHeight w:val="2491"/>
        </w:trPr>
        <w:tc>
          <w:tcPr>
            <w:tcW w:w="9212" w:type="dxa"/>
            <w:shd w:val="clear" w:color="auto" w:fill="auto"/>
          </w:tcPr>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tc>
      </w:tr>
      <w:tr>
        <w:trPr>
          <w:trHeight w:val="696"/>
        </w:trPr>
        <w:tc>
          <w:tcPr>
            <w:tcW w:w="9212" w:type="dxa"/>
            <w:shd w:val="clear" w:color="auto" w:fill="auto"/>
            <w:vAlign w:val="center"/>
          </w:tcPr>
          <w:p>
            <w:pPr>
              <w:rPr>
                <w:rFonts w:asciiTheme="minorHAnsi" w:hAnsiTheme="minorHAnsi" w:cstheme="minorHAnsi"/>
                <w:sz w:val="22"/>
                <w:szCs w:val="22"/>
                <w:lang w:eastAsia="fr-BE"/>
              </w:rPr>
            </w:pPr>
            <w:r>
              <w:rPr>
                <w:rFonts w:asciiTheme="minorHAnsi" w:hAnsiTheme="minorHAnsi" w:cstheme="minorHAnsi"/>
                <w:sz w:val="22"/>
                <w:szCs w:val="22"/>
                <w:lang w:eastAsia="fr-BE"/>
              </w:rPr>
              <w:t>● I</w:t>
            </w:r>
            <w:r>
              <w:rPr>
                <w:rFonts w:asciiTheme="minorHAnsi" w:hAnsiTheme="minorHAnsi" w:cstheme="minorHAnsi"/>
                <w:iCs/>
                <w:sz w:val="22"/>
                <w:szCs w:val="22"/>
              </w:rPr>
              <w:t>ndicateurs objectifs tels que les taux de réussite et d’échec scolaire, les taux de redoublement et de retard scolaire, de changement d’établissement, d’orientation des élèves à l’issue du continuum pédagogique visé à l’article 13 du décret missions, d’orientation des élèves dans l’enseignement spécialisé :</w:t>
            </w:r>
          </w:p>
        </w:tc>
      </w:tr>
      <w:tr>
        <w:trPr>
          <w:trHeight w:val="2456"/>
        </w:trPr>
        <w:tc>
          <w:tcPr>
            <w:tcW w:w="9212" w:type="dxa"/>
            <w:shd w:val="clear" w:color="auto" w:fill="auto"/>
          </w:tcPr>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tc>
      </w:tr>
      <w:tr>
        <w:trPr>
          <w:trHeight w:val="300"/>
        </w:trPr>
        <w:tc>
          <w:tcPr>
            <w:tcW w:w="9212" w:type="dxa"/>
            <w:shd w:val="clear" w:color="auto" w:fill="auto"/>
            <w:vAlign w:val="center"/>
          </w:tcPr>
          <w:p>
            <w:pPr>
              <w:rPr>
                <w:rFonts w:asciiTheme="minorHAnsi" w:hAnsiTheme="minorHAnsi" w:cstheme="minorHAnsi"/>
                <w:sz w:val="22"/>
                <w:szCs w:val="22"/>
                <w:lang w:eastAsia="fr-BE"/>
              </w:rPr>
            </w:pPr>
            <w:r>
              <w:rPr>
                <w:rFonts w:asciiTheme="minorHAnsi" w:hAnsiTheme="minorHAnsi" w:cstheme="minorHAnsi"/>
                <w:sz w:val="22"/>
                <w:szCs w:val="22"/>
                <w:lang w:eastAsia="fr-BE"/>
              </w:rPr>
              <w:t>● Constats issus des rapports d’inspection et de l’action des conseillers pédagogiques :</w:t>
            </w:r>
          </w:p>
        </w:tc>
      </w:tr>
      <w:tr>
        <w:trPr>
          <w:trHeight w:val="2428"/>
        </w:trPr>
        <w:tc>
          <w:tcPr>
            <w:tcW w:w="9212" w:type="dxa"/>
            <w:shd w:val="clear" w:color="auto" w:fill="auto"/>
          </w:tcPr>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p>
            <w:pPr>
              <w:rPr>
                <w:rFonts w:asciiTheme="minorHAnsi" w:hAnsiTheme="minorHAnsi" w:cstheme="minorHAnsi"/>
                <w:sz w:val="22"/>
                <w:szCs w:val="22"/>
                <w:lang w:eastAsia="fr-BE"/>
              </w:rPr>
            </w:pPr>
          </w:p>
        </w:tc>
      </w:tr>
    </w:tbl>
    <w:p>
      <w:pPr>
        <w:rPr>
          <w:rFonts w:asciiTheme="minorHAnsi" w:hAnsiTheme="minorHAnsi" w:cstheme="minorHAnsi"/>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0"/>
      </w:tblGrid>
      <w:tr>
        <w:trPr>
          <w:trHeight w:val="283"/>
        </w:trPr>
        <w:tc>
          <w:tcPr>
            <w:tcW w:w="9180" w:type="dxa"/>
            <w:shd w:val="clear" w:color="auto" w:fill="auto"/>
            <w:vAlign w:val="center"/>
          </w:tcPr>
          <w:p>
            <w:pPr>
              <w:rPr>
                <w:rFonts w:asciiTheme="minorHAnsi" w:hAnsiTheme="minorHAnsi" w:cstheme="minorHAnsi"/>
                <w:b/>
                <w:bCs/>
                <w:szCs w:val="22"/>
                <w:lang w:eastAsia="fr-BE"/>
              </w:rPr>
            </w:pPr>
            <w:r>
              <w:rPr>
                <w:rFonts w:asciiTheme="minorHAnsi" w:hAnsiTheme="minorHAnsi" w:cstheme="minorHAnsi"/>
                <w:b/>
                <w:bCs/>
                <w:szCs w:val="22"/>
                <w:lang w:eastAsia="fr-BE"/>
              </w:rPr>
              <w:t>Besoins spécifiques du terrain et contexte de l’implantation concernée :</w:t>
            </w:r>
          </w:p>
        </w:tc>
      </w:tr>
      <w:tr>
        <w:trPr>
          <w:trHeight w:val="3396"/>
        </w:trPr>
        <w:tc>
          <w:tcPr>
            <w:tcW w:w="9180" w:type="dxa"/>
            <w:shd w:val="clear" w:color="auto" w:fill="auto"/>
          </w:tcPr>
          <w:p>
            <w:pPr>
              <w:rPr>
                <w:rFonts w:asciiTheme="minorHAnsi" w:hAnsiTheme="minorHAnsi" w:cstheme="minorHAnsi"/>
                <w:sz w:val="22"/>
                <w:szCs w:val="22"/>
                <w:lang w:eastAsia="fr-BE"/>
              </w:rPr>
            </w:pPr>
          </w:p>
          <w:p>
            <w:pPr>
              <w:rPr>
                <w:rFonts w:asciiTheme="minorHAnsi" w:hAnsiTheme="minorHAnsi" w:cstheme="minorHAnsi"/>
                <w:b/>
                <w:bCs/>
                <w:sz w:val="22"/>
                <w:szCs w:val="22"/>
                <w:lang w:eastAsia="fr-BE"/>
              </w:rPr>
            </w:pPr>
          </w:p>
          <w:p>
            <w:pPr>
              <w:rPr>
                <w:rFonts w:asciiTheme="minorHAnsi" w:hAnsiTheme="minorHAnsi" w:cstheme="minorHAnsi"/>
                <w:b/>
                <w:bCs/>
                <w:sz w:val="22"/>
                <w:szCs w:val="22"/>
                <w:lang w:eastAsia="fr-BE"/>
              </w:rPr>
            </w:pPr>
          </w:p>
          <w:p>
            <w:pPr>
              <w:rPr>
                <w:rFonts w:asciiTheme="minorHAnsi" w:hAnsiTheme="minorHAnsi" w:cstheme="minorHAnsi"/>
                <w:b/>
                <w:bCs/>
                <w:sz w:val="22"/>
                <w:szCs w:val="22"/>
                <w:lang w:eastAsia="fr-BE"/>
              </w:rPr>
            </w:pPr>
          </w:p>
          <w:p>
            <w:pPr>
              <w:rPr>
                <w:rFonts w:asciiTheme="minorHAnsi" w:hAnsiTheme="minorHAnsi" w:cstheme="minorHAnsi"/>
                <w:b/>
                <w:bCs/>
                <w:sz w:val="22"/>
                <w:szCs w:val="22"/>
                <w:lang w:eastAsia="fr-BE"/>
              </w:rPr>
            </w:pPr>
          </w:p>
          <w:p>
            <w:pPr>
              <w:rPr>
                <w:rFonts w:asciiTheme="minorHAnsi" w:hAnsiTheme="minorHAnsi" w:cstheme="minorHAnsi"/>
                <w:b/>
                <w:bCs/>
                <w:sz w:val="22"/>
                <w:szCs w:val="22"/>
                <w:lang w:eastAsia="fr-BE"/>
              </w:rPr>
            </w:pPr>
          </w:p>
          <w:p>
            <w:pPr>
              <w:rPr>
                <w:rFonts w:asciiTheme="minorHAnsi" w:hAnsiTheme="minorHAnsi" w:cstheme="minorHAnsi"/>
                <w:b/>
                <w:bCs/>
                <w:sz w:val="22"/>
                <w:szCs w:val="22"/>
                <w:lang w:eastAsia="fr-BE"/>
              </w:rPr>
            </w:pPr>
          </w:p>
          <w:p>
            <w:pPr>
              <w:rPr>
                <w:rFonts w:asciiTheme="minorHAnsi" w:hAnsiTheme="minorHAnsi" w:cstheme="minorHAnsi"/>
                <w:b/>
                <w:bCs/>
                <w:sz w:val="22"/>
                <w:szCs w:val="22"/>
                <w:lang w:eastAsia="fr-BE"/>
              </w:rPr>
            </w:pPr>
          </w:p>
          <w:p>
            <w:pPr>
              <w:rPr>
                <w:rFonts w:asciiTheme="minorHAnsi" w:hAnsiTheme="minorHAnsi" w:cstheme="minorHAnsi"/>
                <w:b/>
                <w:bCs/>
                <w:sz w:val="22"/>
                <w:szCs w:val="22"/>
                <w:lang w:eastAsia="fr-BE"/>
              </w:rPr>
            </w:pPr>
          </w:p>
          <w:p>
            <w:pPr>
              <w:rPr>
                <w:rFonts w:asciiTheme="minorHAnsi" w:hAnsiTheme="minorHAnsi" w:cstheme="minorHAnsi"/>
                <w:b/>
                <w:bCs/>
                <w:sz w:val="22"/>
                <w:szCs w:val="22"/>
                <w:lang w:eastAsia="fr-BE"/>
              </w:rPr>
            </w:pPr>
          </w:p>
        </w:tc>
      </w:tr>
    </w:tbl>
    <w:p>
      <w:pPr>
        <w:rPr>
          <w:rFonts w:asciiTheme="minorHAnsi" w:hAnsiTheme="minorHAnsi" w:cstheme="minorHAnsi"/>
          <w:b/>
          <w:sz w:val="22"/>
          <w:szCs w:val="22"/>
          <w:highlight w:val="yellow"/>
        </w:rPr>
        <w:sectPr>
          <w:headerReference w:type="default" r:id="rId16"/>
          <w:footerReference w:type="default" r:id="rId17"/>
          <w:footnotePr>
            <w:numRestart w:val="eachSect"/>
          </w:footnotePr>
          <w:pgSz w:w="11906" w:h="16838"/>
          <w:pgMar w:top="1418" w:right="1418" w:bottom="426" w:left="1418" w:header="709" w:footer="276" w:gutter="0"/>
          <w:pgNumType w:start="1"/>
          <w:cols w:space="708"/>
          <w:docGrid w:linePitch="360"/>
        </w:sectPr>
      </w:pPr>
    </w:p>
    <w:p>
      <w:pPr>
        <w:spacing w:after="120"/>
        <w:rPr>
          <w:rFonts w:asciiTheme="minorHAnsi" w:hAnsiTheme="minorHAnsi" w:cstheme="minorHAnsi"/>
          <w:szCs w:val="22"/>
        </w:rPr>
      </w:pPr>
      <w:r>
        <w:rPr>
          <w:rFonts w:asciiTheme="minorHAnsi" w:hAnsiTheme="minorHAnsi" w:cstheme="minorHAnsi"/>
          <w:szCs w:val="22"/>
          <w:u w:val="single"/>
        </w:rPr>
        <w:t>4. Objectifs et actions</w:t>
      </w:r>
      <w:r>
        <w:rPr>
          <w:rFonts w:asciiTheme="minorHAnsi" w:hAnsiTheme="minorHAnsi" w:cstheme="minorHAnsi"/>
          <w:szCs w:val="22"/>
        </w:rPr>
        <w:t xml:space="preserve"> : </w:t>
      </w:r>
    </w:p>
    <w:tbl>
      <w:tblPr>
        <w:tblStyle w:val="Grilledutableau"/>
        <w:tblW w:w="14601" w:type="dxa"/>
        <w:tblInd w:w="-318" w:type="dxa"/>
        <w:tblLook w:val="04A0" w:firstRow="1" w:lastRow="0" w:firstColumn="1" w:lastColumn="0" w:noHBand="0" w:noVBand="1"/>
      </w:tblPr>
      <w:tblGrid>
        <w:gridCol w:w="1560"/>
        <w:gridCol w:w="13041"/>
      </w:tblGrid>
      <w:tr>
        <w:trPr>
          <w:trHeight w:val="421"/>
        </w:trPr>
        <w:tc>
          <w:tcPr>
            <w:tcW w:w="14601" w:type="dxa"/>
            <w:gridSpan w:val="2"/>
            <w:vAlign w:val="center"/>
          </w:tcPr>
          <w:p>
            <w:pPr>
              <w:rPr>
                <w:rFonts w:asciiTheme="minorHAnsi" w:hAnsiTheme="minorHAnsi" w:cstheme="minorHAnsi"/>
                <w:b/>
                <w:bCs/>
                <w:sz w:val="22"/>
                <w:szCs w:val="22"/>
                <w:lang w:eastAsia="fr-BE"/>
              </w:rPr>
            </w:pPr>
            <w:r>
              <w:rPr>
                <w:rFonts w:asciiTheme="minorHAnsi" w:hAnsiTheme="minorHAnsi" w:cstheme="minorHAnsi"/>
                <w:b/>
                <w:bCs/>
                <w:sz w:val="22"/>
                <w:szCs w:val="22"/>
                <w:lang w:eastAsia="fr-BE"/>
              </w:rPr>
              <w:t>Objectif(s) (Situation attendue et indicateurs objectifs du résultat attendu)</w:t>
            </w:r>
          </w:p>
        </w:tc>
      </w:tr>
      <w:tr>
        <w:trPr>
          <w:trHeight w:val="680"/>
        </w:trPr>
        <w:tc>
          <w:tcPr>
            <w:tcW w:w="1560" w:type="dxa"/>
            <w:vAlign w:val="center"/>
          </w:tcPr>
          <w:p>
            <w:pPr>
              <w:rPr>
                <w:rFonts w:asciiTheme="minorHAnsi" w:hAnsiTheme="minorHAnsi" w:cstheme="minorHAnsi"/>
                <w:sz w:val="22"/>
                <w:szCs w:val="22"/>
              </w:rPr>
            </w:pPr>
            <w:r>
              <w:rPr>
                <w:rFonts w:asciiTheme="minorHAnsi" w:hAnsiTheme="minorHAnsi" w:cstheme="minorHAnsi"/>
                <w:sz w:val="22"/>
                <w:szCs w:val="22"/>
              </w:rPr>
              <w:t>Objectif 1</w:t>
            </w:r>
          </w:p>
        </w:tc>
        <w:tc>
          <w:tcPr>
            <w:tcW w:w="13041" w:type="dxa"/>
          </w:tcPr>
          <w:p>
            <w:pPr>
              <w:rPr>
                <w:rFonts w:asciiTheme="minorHAnsi" w:hAnsiTheme="minorHAnsi" w:cstheme="minorHAnsi"/>
                <w:sz w:val="22"/>
                <w:szCs w:val="22"/>
                <w:u w:val="single"/>
              </w:rPr>
            </w:pPr>
          </w:p>
        </w:tc>
      </w:tr>
      <w:tr>
        <w:trPr>
          <w:trHeight w:val="680"/>
        </w:trPr>
        <w:tc>
          <w:tcPr>
            <w:tcW w:w="1560" w:type="dxa"/>
            <w:vAlign w:val="center"/>
          </w:tcPr>
          <w:p>
            <w:pPr>
              <w:rPr>
                <w:rFonts w:asciiTheme="minorHAnsi" w:hAnsiTheme="minorHAnsi" w:cstheme="minorHAnsi"/>
                <w:sz w:val="22"/>
                <w:szCs w:val="22"/>
              </w:rPr>
            </w:pPr>
            <w:r>
              <w:rPr>
                <w:rFonts w:asciiTheme="minorHAnsi" w:hAnsiTheme="minorHAnsi" w:cstheme="minorHAnsi"/>
                <w:sz w:val="22"/>
                <w:szCs w:val="22"/>
              </w:rPr>
              <w:t>Objectif 2</w:t>
            </w:r>
          </w:p>
        </w:tc>
        <w:tc>
          <w:tcPr>
            <w:tcW w:w="13041" w:type="dxa"/>
          </w:tcPr>
          <w:p>
            <w:pPr>
              <w:rPr>
                <w:rFonts w:asciiTheme="minorHAnsi" w:hAnsiTheme="minorHAnsi" w:cstheme="minorHAnsi"/>
                <w:sz w:val="22"/>
                <w:szCs w:val="22"/>
                <w:u w:val="single"/>
              </w:rPr>
            </w:pPr>
          </w:p>
        </w:tc>
      </w:tr>
      <w:tr>
        <w:trPr>
          <w:trHeight w:val="680"/>
        </w:trPr>
        <w:tc>
          <w:tcPr>
            <w:tcW w:w="1560" w:type="dxa"/>
            <w:vAlign w:val="center"/>
          </w:tcPr>
          <w:p>
            <w:pPr>
              <w:rPr>
                <w:rFonts w:asciiTheme="minorHAnsi" w:hAnsiTheme="minorHAnsi" w:cstheme="minorHAnsi"/>
                <w:sz w:val="22"/>
                <w:szCs w:val="22"/>
              </w:rPr>
            </w:pPr>
            <w:r>
              <w:rPr>
                <w:rFonts w:asciiTheme="minorHAnsi" w:hAnsiTheme="minorHAnsi" w:cstheme="minorHAnsi"/>
                <w:sz w:val="22"/>
                <w:szCs w:val="22"/>
              </w:rPr>
              <w:t>…</w:t>
            </w:r>
          </w:p>
        </w:tc>
        <w:tc>
          <w:tcPr>
            <w:tcW w:w="13041" w:type="dxa"/>
          </w:tcPr>
          <w:p>
            <w:pPr>
              <w:rPr>
                <w:rFonts w:asciiTheme="minorHAnsi" w:hAnsiTheme="minorHAnsi" w:cstheme="minorHAnsi"/>
                <w:sz w:val="22"/>
                <w:szCs w:val="22"/>
                <w:u w:val="single"/>
              </w:rPr>
            </w:pPr>
          </w:p>
        </w:tc>
      </w:tr>
      <w:tr>
        <w:trPr>
          <w:trHeight w:val="680"/>
        </w:trPr>
        <w:tc>
          <w:tcPr>
            <w:tcW w:w="1560" w:type="dxa"/>
            <w:vAlign w:val="center"/>
          </w:tcPr>
          <w:p>
            <w:pPr>
              <w:rPr>
                <w:rFonts w:asciiTheme="minorHAnsi" w:hAnsiTheme="minorHAnsi" w:cstheme="minorHAnsi"/>
                <w:sz w:val="22"/>
                <w:szCs w:val="22"/>
              </w:rPr>
            </w:pPr>
            <w:r>
              <w:rPr>
                <w:rFonts w:asciiTheme="minorHAnsi" w:hAnsiTheme="minorHAnsi" w:cstheme="minorHAnsi"/>
                <w:sz w:val="22"/>
                <w:szCs w:val="22"/>
              </w:rPr>
              <w:t>…</w:t>
            </w:r>
          </w:p>
        </w:tc>
        <w:tc>
          <w:tcPr>
            <w:tcW w:w="13041" w:type="dxa"/>
          </w:tcPr>
          <w:p>
            <w:pPr>
              <w:rPr>
                <w:rFonts w:asciiTheme="minorHAnsi" w:hAnsiTheme="minorHAnsi" w:cstheme="minorHAnsi"/>
                <w:sz w:val="22"/>
                <w:szCs w:val="22"/>
                <w:u w:val="single"/>
              </w:rPr>
            </w:pPr>
          </w:p>
        </w:tc>
      </w:tr>
    </w:tbl>
    <w:p>
      <w:pPr>
        <w:rPr>
          <w:rFonts w:asciiTheme="minorHAnsi" w:hAnsiTheme="minorHAnsi" w:cstheme="minorHAnsi"/>
          <w:sz w:val="22"/>
          <w:szCs w:val="22"/>
          <w:u w:val="single"/>
        </w:rPr>
      </w:pPr>
    </w:p>
    <w:tbl>
      <w:tblPr>
        <w:tblStyle w:val="Grilledutableau"/>
        <w:tblW w:w="14601" w:type="dxa"/>
        <w:tblInd w:w="-318" w:type="dxa"/>
        <w:tblLook w:val="04A0" w:firstRow="1" w:lastRow="0" w:firstColumn="1" w:lastColumn="0" w:noHBand="0" w:noVBand="1"/>
      </w:tblPr>
      <w:tblGrid>
        <w:gridCol w:w="1135"/>
        <w:gridCol w:w="4820"/>
        <w:gridCol w:w="1559"/>
        <w:gridCol w:w="3543"/>
        <w:gridCol w:w="3544"/>
      </w:tblGrid>
      <w:tr>
        <w:trPr>
          <w:trHeight w:val="431"/>
        </w:trPr>
        <w:tc>
          <w:tcPr>
            <w:tcW w:w="5955" w:type="dxa"/>
            <w:gridSpan w:val="2"/>
            <w:vAlign w:val="center"/>
          </w:tcPr>
          <w:p>
            <w:pPr>
              <w:rPr>
                <w:rFonts w:asciiTheme="minorHAnsi" w:hAnsiTheme="minorHAnsi" w:cstheme="minorHAnsi"/>
                <w:b/>
                <w:bCs/>
                <w:sz w:val="22"/>
                <w:szCs w:val="22"/>
                <w:lang w:eastAsia="fr-BE"/>
              </w:rPr>
            </w:pPr>
            <w:r>
              <w:rPr>
                <w:rFonts w:asciiTheme="minorHAnsi" w:hAnsiTheme="minorHAnsi" w:cstheme="minorHAnsi"/>
                <w:b/>
                <w:bCs/>
                <w:sz w:val="22"/>
                <w:szCs w:val="22"/>
                <w:lang w:eastAsia="fr-BE"/>
              </w:rPr>
              <w:t>Action(s) envisagée(s)</w:t>
            </w:r>
          </w:p>
        </w:tc>
        <w:tc>
          <w:tcPr>
            <w:tcW w:w="1559" w:type="dxa"/>
            <w:shd w:val="clear" w:color="auto" w:fill="D9D9D9" w:themeFill="background1" w:themeFillShade="D9"/>
            <w:vAlign w:val="center"/>
          </w:tcPr>
          <w:p>
            <w:pPr>
              <w:rPr>
                <w:rFonts w:asciiTheme="minorHAnsi" w:hAnsiTheme="minorHAnsi" w:cstheme="minorHAnsi"/>
                <w:b/>
                <w:i/>
                <w:sz w:val="22"/>
                <w:szCs w:val="22"/>
              </w:rPr>
            </w:pPr>
            <w:r>
              <w:rPr>
                <w:rFonts w:asciiTheme="minorHAnsi" w:hAnsiTheme="minorHAnsi" w:cstheme="minorHAnsi"/>
                <w:b/>
                <w:i/>
                <w:sz w:val="22"/>
                <w:szCs w:val="22"/>
              </w:rPr>
              <w:t>Réalisée/</w:t>
            </w:r>
            <w:r>
              <w:rPr>
                <w:rFonts w:asciiTheme="minorHAnsi" w:hAnsiTheme="minorHAnsi" w:cstheme="minorHAnsi"/>
                <w:b/>
                <w:i/>
                <w:sz w:val="22"/>
                <w:szCs w:val="22"/>
              </w:rPr>
              <w:br/>
              <w:t>Non réalisée</w:t>
            </w:r>
          </w:p>
        </w:tc>
        <w:tc>
          <w:tcPr>
            <w:tcW w:w="3543" w:type="dxa"/>
            <w:shd w:val="clear" w:color="auto" w:fill="D9D9D9" w:themeFill="background1" w:themeFillShade="D9"/>
            <w:vAlign w:val="center"/>
          </w:tcPr>
          <w:p>
            <w:pPr>
              <w:jc w:val="center"/>
              <w:rPr>
                <w:rFonts w:asciiTheme="minorHAnsi" w:hAnsiTheme="minorHAnsi" w:cstheme="minorHAnsi"/>
                <w:b/>
                <w:i/>
                <w:sz w:val="22"/>
                <w:szCs w:val="22"/>
              </w:rPr>
            </w:pPr>
            <w:r>
              <w:rPr>
                <w:rFonts w:asciiTheme="minorHAnsi" w:hAnsiTheme="minorHAnsi" w:cstheme="minorHAnsi"/>
                <w:b/>
                <w:i/>
                <w:sz w:val="22"/>
                <w:szCs w:val="22"/>
              </w:rPr>
              <w:t>Améliorations constatées</w:t>
            </w:r>
          </w:p>
        </w:tc>
        <w:tc>
          <w:tcPr>
            <w:tcW w:w="3544" w:type="dxa"/>
            <w:shd w:val="clear" w:color="auto" w:fill="D9D9D9" w:themeFill="background1" w:themeFillShade="D9"/>
            <w:vAlign w:val="center"/>
          </w:tcPr>
          <w:p>
            <w:pPr>
              <w:jc w:val="center"/>
              <w:rPr>
                <w:rFonts w:asciiTheme="minorHAnsi" w:hAnsiTheme="minorHAnsi" w:cstheme="minorHAnsi"/>
                <w:b/>
                <w:i/>
                <w:sz w:val="22"/>
                <w:szCs w:val="22"/>
              </w:rPr>
            </w:pPr>
            <w:r>
              <w:rPr>
                <w:rFonts w:asciiTheme="minorHAnsi" w:hAnsiTheme="minorHAnsi" w:cstheme="minorHAnsi"/>
                <w:b/>
                <w:i/>
                <w:sz w:val="22"/>
                <w:szCs w:val="22"/>
              </w:rPr>
              <w:t>Freins rencontrés</w:t>
            </w:r>
          </w:p>
        </w:tc>
      </w:tr>
      <w:tr>
        <w:trPr>
          <w:trHeight w:val="1304"/>
        </w:trPr>
        <w:tc>
          <w:tcPr>
            <w:tcW w:w="1135" w:type="dxa"/>
            <w:vAlign w:val="center"/>
          </w:tcPr>
          <w:p>
            <w:pPr>
              <w:rPr>
                <w:rFonts w:asciiTheme="minorHAnsi" w:hAnsiTheme="minorHAnsi" w:cstheme="minorHAnsi"/>
                <w:sz w:val="22"/>
                <w:szCs w:val="22"/>
              </w:rPr>
            </w:pPr>
            <w:r>
              <w:rPr>
                <w:rFonts w:asciiTheme="minorHAnsi" w:hAnsiTheme="minorHAnsi" w:cstheme="minorHAnsi"/>
                <w:sz w:val="22"/>
                <w:szCs w:val="22"/>
              </w:rPr>
              <w:t>Action 1</w:t>
            </w:r>
          </w:p>
        </w:tc>
        <w:tc>
          <w:tcPr>
            <w:tcW w:w="4820" w:type="dxa"/>
          </w:tcPr>
          <w:p>
            <w:pPr>
              <w:rPr>
                <w:rFonts w:asciiTheme="minorHAnsi" w:hAnsiTheme="minorHAnsi" w:cstheme="minorHAnsi"/>
                <w:sz w:val="22"/>
                <w:szCs w:val="22"/>
              </w:rPr>
            </w:pPr>
          </w:p>
        </w:tc>
        <w:tc>
          <w:tcPr>
            <w:tcW w:w="1559" w:type="dxa"/>
            <w:shd w:val="clear" w:color="auto" w:fill="D9D9D9" w:themeFill="background1" w:themeFillShade="D9"/>
          </w:tcPr>
          <w:p>
            <w:pPr>
              <w:rPr>
                <w:rFonts w:asciiTheme="minorHAnsi" w:hAnsiTheme="minorHAnsi" w:cstheme="minorHAnsi"/>
                <w:sz w:val="22"/>
                <w:szCs w:val="22"/>
              </w:rPr>
            </w:pPr>
          </w:p>
        </w:tc>
        <w:tc>
          <w:tcPr>
            <w:tcW w:w="3543" w:type="dxa"/>
            <w:shd w:val="clear" w:color="auto" w:fill="D9D9D9" w:themeFill="background1" w:themeFillShade="D9"/>
          </w:tcPr>
          <w:p>
            <w:pPr>
              <w:rPr>
                <w:rFonts w:asciiTheme="minorHAnsi" w:hAnsiTheme="minorHAnsi" w:cstheme="minorHAnsi"/>
                <w:sz w:val="22"/>
                <w:szCs w:val="22"/>
              </w:rPr>
            </w:pPr>
          </w:p>
        </w:tc>
        <w:tc>
          <w:tcPr>
            <w:tcW w:w="3544" w:type="dxa"/>
            <w:shd w:val="clear" w:color="auto" w:fill="D9D9D9" w:themeFill="background1" w:themeFillShade="D9"/>
          </w:tcPr>
          <w:p>
            <w:pPr>
              <w:rPr>
                <w:rFonts w:asciiTheme="minorHAnsi" w:hAnsiTheme="minorHAnsi" w:cstheme="minorHAnsi"/>
                <w:sz w:val="22"/>
                <w:szCs w:val="22"/>
              </w:rPr>
            </w:pPr>
          </w:p>
        </w:tc>
      </w:tr>
      <w:tr>
        <w:trPr>
          <w:trHeight w:val="1304"/>
        </w:trPr>
        <w:tc>
          <w:tcPr>
            <w:tcW w:w="1135" w:type="dxa"/>
            <w:vAlign w:val="center"/>
          </w:tcPr>
          <w:p>
            <w:pPr>
              <w:rPr>
                <w:rFonts w:asciiTheme="minorHAnsi" w:hAnsiTheme="minorHAnsi" w:cstheme="minorHAnsi"/>
                <w:sz w:val="22"/>
                <w:szCs w:val="22"/>
              </w:rPr>
            </w:pPr>
            <w:r>
              <w:rPr>
                <w:rFonts w:asciiTheme="minorHAnsi" w:hAnsiTheme="minorHAnsi" w:cstheme="minorHAnsi"/>
                <w:sz w:val="22"/>
                <w:szCs w:val="22"/>
              </w:rPr>
              <w:t>Action 2</w:t>
            </w:r>
          </w:p>
        </w:tc>
        <w:tc>
          <w:tcPr>
            <w:tcW w:w="4820" w:type="dxa"/>
          </w:tcPr>
          <w:p>
            <w:pPr>
              <w:rPr>
                <w:rFonts w:asciiTheme="minorHAnsi" w:hAnsiTheme="minorHAnsi" w:cstheme="minorHAnsi"/>
                <w:sz w:val="22"/>
                <w:szCs w:val="22"/>
              </w:rPr>
            </w:pPr>
          </w:p>
        </w:tc>
        <w:tc>
          <w:tcPr>
            <w:tcW w:w="1559" w:type="dxa"/>
            <w:shd w:val="clear" w:color="auto" w:fill="D9D9D9" w:themeFill="background1" w:themeFillShade="D9"/>
          </w:tcPr>
          <w:p>
            <w:pPr>
              <w:rPr>
                <w:rFonts w:asciiTheme="minorHAnsi" w:hAnsiTheme="minorHAnsi" w:cstheme="minorHAnsi"/>
                <w:sz w:val="22"/>
                <w:szCs w:val="22"/>
              </w:rPr>
            </w:pPr>
          </w:p>
        </w:tc>
        <w:tc>
          <w:tcPr>
            <w:tcW w:w="3543" w:type="dxa"/>
            <w:shd w:val="clear" w:color="auto" w:fill="D9D9D9" w:themeFill="background1" w:themeFillShade="D9"/>
          </w:tcPr>
          <w:p>
            <w:pPr>
              <w:rPr>
                <w:rFonts w:asciiTheme="minorHAnsi" w:hAnsiTheme="minorHAnsi" w:cstheme="minorHAnsi"/>
                <w:sz w:val="22"/>
                <w:szCs w:val="22"/>
              </w:rPr>
            </w:pPr>
          </w:p>
        </w:tc>
        <w:tc>
          <w:tcPr>
            <w:tcW w:w="3544" w:type="dxa"/>
            <w:shd w:val="clear" w:color="auto" w:fill="D9D9D9" w:themeFill="background1" w:themeFillShade="D9"/>
          </w:tcPr>
          <w:p>
            <w:pPr>
              <w:rPr>
                <w:rFonts w:asciiTheme="minorHAnsi" w:hAnsiTheme="minorHAnsi" w:cstheme="minorHAnsi"/>
                <w:sz w:val="22"/>
                <w:szCs w:val="22"/>
              </w:rPr>
            </w:pPr>
          </w:p>
        </w:tc>
      </w:tr>
      <w:tr>
        <w:trPr>
          <w:trHeight w:val="1304"/>
        </w:trPr>
        <w:tc>
          <w:tcPr>
            <w:tcW w:w="1135" w:type="dxa"/>
            <w:vAlign w:val="center"/>
          </w:tcPr>
          <w:p>
            <w:pPr>
              <w:rPr>
                <w:rFonts w:asciiTheme="minorHAnsi" w:hAnsiTheme="minorHAnsi" w:cstheme="minorHAnsi"/>
                <w:sz w:val="22"/>
                <w:szCs w:val="22"/>
              </w:rPr>
            </w:pPr>
            <w:r>
              <w:rPr>
                <w:rFonts w:asciiTheme="minorHAnsi" w:hAnsiTheme="minorHAnsi" w:cstheme="minorHAnsi"/>
                <w:sz w:val="22"/>
                <w:szCs w:val="22"/>
              </w:rPr>
              <w:t>Action 3</w:t>
            </w:r>
          </w:p>
        </w:tc>
        <w:tc>
          <w:tcPr>
            <w:tcW w:w="4820" w:type="dxa"/>
          </w:tcPr>
          <w:p>
            <w:pPr>
              <w:rPr>
                <w:rFonts w:asciiTheme="minorHAnsi" w:hAnsiTheme="minorHAnsi" w:cstheme="minorHAnsi"/>
                <w:sz w:val="22"/>
                <w:szCs w:val="22"/>
              </w:rPr>
            </w:pPr>
          </w:p>
        </w:tc>
        <w:tc>
          <w:tcPr>
            <w:tcW w:w="1559" w:type="dxa"/>
            <w:shd w:val="clear" w:color="auto" w:fill="D9D9D9" w:themeFill="background1" w:themeFillShade="D9"/>
          </w:tcPr>
          <w:p>
            <w:pPr>
              <w:rPr>
                <w:rFonts w:asciiTheme="minorHAnsi" w:hAnsiTheme="minorHAnsi" w:cstheme="minorHAnsi"/>
                <w:sz w:val="22"/>
                <w:szCs w:val="22"/>
              </w:rPr>
            </w:pPr>
          </w:p>
        </w:tc>
        <w:tc>
          <w:tcPr>
            <w:tcW w:w="3543" w:type="dxa"/>
            <w:shd w:val="clear" w:color="auto" w:fill="D9D9D9" w:themeFill="background1" w:themeFillShade="D9"/>
          </w:tcPr>
          <w:p>
            <w:pPr>
              <w:rPr>
                <w:rFonts w:asciiTheme="minorHAnsi" w:hAnsiTheme="minorHAnsi" w:cstheme="minorHAnsi"/>
                <w:sz w:val="22"/>
                <w:szCs w:val="22"/>
              </w:rPr>
            </w:pPr>
          </w:p>
        </w:tc>
        <w:tc>
          <w:tcPr>
            <w:tcW w:w="3544" w:type="dxa"/>
            <w:shd w:val="clear" w:color="auto" w:fill="D9D9D9" w:themeFill="background1" w:themeFillShade="D9"/>
          </w:tcPr>
          <w:p>
            <w:pPr>
              <w:rPr>
                <w:rFonts w:asciiTheme="minorHAnsi" w:hAnsiTheme="minorHAnsi" w:cstheme="minorHAnsi"/>
                <w:sz w:val="22"/>
                <w:szCs w:val="22"/>
              </w:rPr>
            </w:pPr>
          </w:p>
        </w:tc>
      </w:tr>
      <w:tr>
        <w:trPr>
          <w:trHeight w:val="1304"/>
        </w:trPr>
        <w:tc>
          <w:tcPr>
            <w:tcW w:w="1135" w:type="dxa"/>
            <w:vAlign w:val="center"/>
          </w:tcPr>
          <w:p>
            <w:pPr>
              <w:rPr>
                <w:rFonts w:asciiTheme="minorHAnsi" w:hAnsiTheme="minorHAnsi" w:cstheme="minorHAnsi"/>
                <w:sz w:val="22"/>
                <w:szCs w:val="22"/>
              </w:rPr>
            </w:pPr>
            <w:r>
              <w:rPr>
                <w:rFonts w:asciiTheme="minorHAnsi" w:hAnsiTheme="minorHAnsi" w:cstheme="minorHAnsi"/>
                <w:sz w:val="22"/>
                <w:szCs w:val="22"/>
              </w:rPr>
              <w:t>…</w:t>
            </w:r>
          </w:p>
        </w:tc>
        <w:tc>
          <w:tcPr>
            <w:tcW w:w="4820" w:type="dxa"/>
          </w:tcPr>
          <w:p>
            <w:pPr>
              <w:rPr>
                <w:rFonts w:asciiTheme="minorHAnsi" w:hAnsiTheme="minorHAnsi" w:cstheme="minorHAnsi"/>
                <w:sz w:val="22"/>
                <w:szCs w:val="22"/>
              </w:rPr>
            </w:pPr>
          </w:p>
        </w:tc>
        <w:tc>
          <w:tcPr>
            <w:tcW w:w="1559" w:type="dxa"/>
            <w:shd w:val="clear" w:color="auto" w:fill="D9D9D9" w:themeFill="background1" w:themeFillShade="D9"/>
          </w:tcPr>
          <w:p>
            <w:pPr>
              <w:rPr>
                <w:rFonts w:asciiTheme="minorHAnsi" w:hAnsiTheme="minorHAnsi" w:cstheme="minorHAnsi"/>
                <w:sz w:val="22"/>
                <w:szCs w:val="22"/>
              </w:rPr>
            </w:pPr>
          </w:p>
        </w:tc>
        <w:tc>
          <w:tcPr>
            <w:tcW w:w="3543" w:type="dxa"/>
            <w:shd w:val="clear" w:color="auto" w:fill="D9D9D9" w:themeFill="background1" w:themeFillShade="D9"/>
          </w:tcPr>
          <w:p>
            <w:pPr>
              <w:rPr>
                <w:rFonts w:asciiTheme="minorHAnsi" w:hAnsiTheme="minorHAnsi" w:cstheme="minorHAnsi"/>
                <w:sz w:val="22"/>
                <w:szCs w:val="22"/>
              </w:rPr>
            </w:pPr>
          </w:p>
        </w:tc>
        <w:tc>
          <w:tcPr>
            <w:tcW w:w="3544" w:type="dxa"/>
            <w:shd w:val="clear" w:color="auto" w:fill="D9D9D9" w:themeFill="background1" w:themeFillShade="D9"/>
          </w:tcPr>
          <w:p>
            <w:pPr>
              <w:rPr>
                <w:rFonts w:asciiTheme="minorHAnsi" w:hAnsiTheme="minorHAnsi" w:cstheme="minorHAnsi"/>
                <w:sz w:val="22"/>
                <w:szCs w:val="22"/>
              </w:rPr>
            </w:pPr>
          </w:p>
        </w:tc>
      </w:tr>
    </w:tbl>
    <w:p>
      <w:pPr>
        <w:rPr>
          <w:rFonts w:asciiTheme="minorHAnsi" w:hAnsiTheme="minorHAnsi" w:cstheme="minorHAnsi"/>
          <w:sz w:val="22"/>
          <w:szCs w:val="22"/>
          <w:highlight w:val="yellow"/>
        </w:rPr>
        <w:sectPr>
          <w:footnotePr>
            <w:numStart w:val="3"/>
          </w:footnotePr>
          <w:pgSz w:w="16838" w:h="11906" w:orient="landscape"/>
          <w:pgMar w:top="993" w:right="1418" w:bottom="709" w:left="1418" w:header="709" w:footer="113" w:gutter="0"/>
          <w:cols w:space="708"/>
          <w:docGrid w:linePitch="360"/>
        </w:sectPr>
      </w:pPr>
    </w:p>
    <w:p>
      <w:pPr>
        <w:spacing w:after="120"/>
        <w:jc w:val="both"/>
        <w:rPr>
          <w:rFonts w:asciiTheme="minorHAnsi" w:hAnsiTheme="minorHAnsi" w:cstheme="minorHAnsi"/>
          <w:b/>
          <w:szCs w:val="22"/>
        </w:rPr>
      </w:pPr>
      <w:r>
        <w:rPr>
          <w:rFonts w:asciiTheme="minorHAnsi" w:hAnsiTheme="minorHAnsi" w:cstheme="minorHAnsi"/>
          <w:b/>
          <w:szCs w:val="22"/>
        </w:rPr>
        <w:t xml:space="preserve">Les actions sont-elles menées : </w:t>
      </w:r>
    </w:p>
    <w:p>
      <w:pPr>
        <w:jc w:val="both"/>
        <w:rPr>
          <w:rFonts w:asciiTheme="minorHAnsi" w:hAnsiTheme="minorHAnsi" w:cstheme="minorHAnsi"/>
          <w:sz w:val="22"/>
          <w:szCs w:val="22"/>
        </w:rPr>
      </w:pPr>
      <w:r>
        <w:rPr>
          <w:rFonts w:asciiTheme="minorHAnsi" w:hAnsiTheme="minorHAnsi" w:cstheme="minorHAnsi"/>
          <w:sz w:val="22"/>
          <w:szCs w:val="22"/>
        </w:rPr>
        <w:t xml:space="preserve">En collaboration avec le centre PMS ?    </w:t>
      </w:r>
      <w:r>
        <w:rPr>
          <w:rFonts w:asciiTheme="minorHAnsi" w:hAnsiTheme="minorHAnsi" w:cstheme="minorHAnsi"/>
          <w:b/>
          <w:szCs w:val="22"/>
        </w:rPr>
        <w:sym w:font="Wingdings" w:char="F0A8"/>
      </w:r>
      <w:r>
        <w:rPr>
          <w:rFonts w:asciiTheme="minorHAnsi" w:hAnsiTheme="minorHAnsi" w:cstheme="minorHAnsi"/>
          <w:sz w:val="22"/>
          <w:szCs w:val="22"/>
        </w:rPr>
        <w:t xml:space="preserve"> Oui      </w:t>
      </w:r>
      <w:r>
        <w:rPr>
          <w:rFonts w:asciiTheme="minorHAnsi" w:hAnsiTheme="minorHAnsi" w:cstheme="minorHAnsi"/>
          <w:b/>
          <w:szCs w:val="22"/>
        </w:rPr>
        <w:sym w:font="Wingdings" w:char="F0A8"/>
      </w:r>
      <w:r>
        <w:rPr>
          <w:rFonts w:asciiTheme="minorHAnsi" w:hAnsiTheme="minorHAnsi" w:cstheme="minorHAnsi"/>
          <w:sz w:val="22"/>
          <w:szCs w:val="22"/>
        </w:rPr>
        <w:t xml:space="preserve"> Non</w:t>
      </w:r>
    </w:p>
    <w:p>
      <w:pPr>
        <w:jc w:val="both"/>
        <w:rPr>
          <w:rFonts w:asciiTheme="minorHAnsi" w:hAnsiTheme="minorHAnsi" w:cstheme="minorHAnsi"/>
          <w:sz w:val="22"/>
          <w:szCs w:val="22"/>
        </w:rPr>
      </w:pPr>
      <w:r>
        <w:rPr>
          <w:rFonts w:asciiTheme="minorHAnsi" w:hAnsiTheme="minorHAnsi" w:cstheme="minorHAnsi"/>
          <w:sz w:val="22"/>
          <w:szCs w:val="22"/>
        </w:rPr>
        <w:t xml:space="preserve">Si oui, en quoi consiste cette collaboration ? </w:t>
      </w:r>
    </w:p>
    <w:p>
      <w:pPr>
        <w:jc w:val="both"/>
        <w:rPr>
          <w:rFonts w:asciiTheme="minorHAnsi" w:hAnsiTheme="minorHAnsi" w:cstheme="minorHAnsi"/>
          <w:sz w:val="22"/>
          <w:szCs w:val="22"/>
        </w:rPr>
      </w:pPr>
      <w:r>
        <w:rPr>
          <w:rFonts w:asciiTheme="minorHAnsi" w:hAnsiTheme="minorHAnsi" w:cstheme="minorHAnsi"/>
          <w:sz w:val="22"/>
          <w:szCs w:val="22"/>
        </w:rPr>
        <w:t>Si non, pourquoi ?</w:t>
      </w: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r>
        <w:rPr>
          <w:rFonts w:asciiTheme="minorHAnsi" w:hAnsiTheme="minorHAnsi" w:cstheme="minorHAnsi"/>
          <w:sz w:val="22"/>
          <w:szCs w:val="22"/>
        </w:rPr>
        <w:t xml:space="preserve">En collaboration avec des associations locales de type éducatif, pédagogique, culturel, sportif ? </w:t>
      </w:r>
    </w:p>
    <w:p>
      <w:pPr>
        <w:jc w:val="both"/>
        <w:rPr>
          <w:rFonts w:asciiTheme="minorHAnsi" w:hAnsiTheme="minorHAnsi" w:cstheme="minorHAnsi"/>
          <w:sz w:val="22"/>
          <w:szCs w:val="22"/>
        </w:rPr>
      </w:pPr>
      <w:r>
        <w:rPr>
          <w:rFonts w:asciiTheme="minorHAnsi" w:hAnsiTheme="minorHAnsi" w:cstheme="minorHAnsi"/>
          <w:b/>
          <w:szCs w:val="22"/>
        </w:rPr>
        <w:sym w:font="Wingdings" w:char="F0A8"/>
      </w:r>
      <w:r>
        <w:rPr>
          <w:rFonts w:asciiTheme="minorHAnsi" w:hAnsiTheme="minorHAnsi" w:cstheme="minorHAnsi"/>
          <w:sz w:val="22"/>
          <w:szCs w:val="22"/>
        </w:rPr>
        <w:t xml:space="preserve"> Oui      </w:t>
      </w:r>
      <w:r>
        <w:rPr>
          <w:rFonts w:asciiTheme="minorHAnsi" w:hAnsiTheme="minorHAnsi" w:cstheme="minorHAnsi"/>
          <w:b/>
          <w:szCs w:val="22"/>
        </w:rPr>
        <w:sym w:font="Wingdings" w:char="F0A8"/>
      </w:r>
      <w:r>
        <w:rPr>
          <w:rFonts w:asciiTheme="minorHAnsi" w:hAnsiTheme="minorHAnsi" w:cstheme="minorHAnsi"/>
          <w:sz w:val="22"/>
          <w:szCs w:val="22"/>
        </w:rPr>
        <w:t xml:space="preserve"> Non</w:t>
      </w:r>
    </w:p>
    <w:p>
      <w:pPr>
        <w:jc w:val="both"/>
        <w:rPr>
          <w:rFonts w:asciiTheme="minorHAnsi" w:hAnsiTheme="minorHAnsi" w:cstheme="minorHAnsi"/>
          <w:sz w:val="22"/>
          <w:szCs w:val="22"/>
        </w:rPr>
      </w:pPr>
      <w:r>
        <w:rPr>
          <w:rFonts w:asciiTheme="minorHAnsi" w:hAnsiTheme="minorHAnsi" w:cstheme="minorHAnsi"/>
          <w:sz w:val="22"/>
          <w:szCs w:val="22"/>
        </w:rPr>
        <w:t>Si oui, lesquelles ?</w:t>
      </w:r>
    </w:p>
    <w:p>
      <w:pPr>
        <w:jc w:val="both"/>
        <w:rPr>
          <w:rFonts w:asciiTheme="minorHAnsi" w:hAnsiTheme="minorHAnsi" w:cstheme="minorHAnsi"/>
          <w:sz w:val="22"/>
          <w:szCs w:val="22"/>
        </w:rPr>
      </w:pPr>
      <w:r>
        <w:rPr>
          <w:rFonts w:asciiTheme="minorHAnsi" w:hAnsiTheme="minorHAnsi" w:cstheme="minorHAnsi"/>
          <w:sz w:val="22"/>
          <w:szCs w:val="22"/>
        </w:rPr>
        <w:t>En quoi consiste cette collaboration ?</w:t>
      </w: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r>
        <w:rPr>
          <w:rFonts w:asciiTheme="minorHAnsi" w:hAnsiTheme="minorHAnsi" w:cstheme="minorHAnsi"/>
          <w:sz w:val="22"/>
          <w:szCs w:val="22"/>
        </w:rPr>
        <w:t xml:space="preserve">En partenariat avec d’autres implantations ?    </w:t>
      </w:r>
      <w:r>
        <w:rPr>
          <w:rFonts w:asciiTheme="minorHAnsi" w:hAnsiTheme="minorHAnsi" w:cstheme="minorHAnsi"/>
          <w:b/>
          <w:szCs w:val="22"/>
        </w:rPr>
        <w:sym w:font="Wingdings" w:char="F0A8"/>
      </w:r>
      <w:r>
        <w:rPr>
          <w:rFonts w:asciiTheme="minorHAnsi" w:hAnsiTheme="minorHAnsi" w:cstheme="minorHAnsi"/>
          <w:sz w:val="22"/>
          <w:szCs w:val="22"/>
        </w:rPr>
        <w:t xml:space="preserve"> Oui      </w:t>
      </w:r>
      <w:r>
        <w:rPr>
          <w:rFonts w:asciiTheme="minorHAnsi" w:hAnsiTheme="minorHAnsi" w:cstheme="minorHAnsi"/>
          <w:b/>
          <w:szCs w:val="22"/>
        </w:rPr>
        <w:sym w:font="Wingdings" w:char="F0A8"/>
      </w:r>
      <w:r>
        <w:rPr>
          <w:rFonts w:asciiTheme="minorHAnsi" w:hAnsiTheme="minorHAnsi" w:cstheme="minorHAnsi"/>
          <w:sz w:val="22"/>
          <w:szCs w:val="22"/>
        </w:rPr>
        <w:t xml:space="preserve"> Non</w:t>
      </w:r>
    </w:p>
    <w:p>
      <w:pPr>
        <w:jc w:val="both"/>
        <w:rPr>
          <w:rFonts w:asciiTheme="minorHAnsi" w:hAnsiTheme="minorHAnsi" w:cstheme="minorHAnsi"/>
          <w:sz w:val="22"/>
          <w:szCs w:val="22"/>
        </w:rPr>
      </w:pPr>
      <w:r>
        <w:rPr>
          <w:rFonts w:asciiTheme="minorHAnsi" w:hAnsiTheme="minorHAnsi" w:cstheme="minorHAnsi"/>
          <w:sz w:val="22"/>
          <w:szCs w:val="22"/>
        </w:rPr>
        <w:t>Si oui, lesquelles ?</w:t>
      </w:r>
    </w:p>
    <w:p>
      <w:pPr>
        <w:jc w:val="both"/>
        <w:rPr>
          <w:rFonts w:asciiTheme="minorHAnsi" w:hAnsiTheme="minorHAnsi" w:cstheme="minorHAnsi"/>
          <w:sz w:val="22"/>
          <w:szCs w:val="22"/>
        </w:rPr>
      </w:pPr>
      <w:r>
        <w:rPr>
          <w:rFonts w:asciiTheme="minorHAnsi" w:hAnsiTheme="minorHAnsi" w:cstheme="minorHAnsi"/>
          <w:sz w:val="22"/>
          <w:szCs w:val="22"/>
        </w:rPr>
        <w:t>En quoi consiste ce partenariat ?</w:t>
      </w: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spacing w:after="120"/>
        <w:rPr>
          <w:rFonts w:asciiTheme="minorHAnsi" w:hAnsiTheme="minorHAnsi" w:cstheme="minorHAnsi"/>
          <w:sz w:val="22"/>
          <w:szCs w:val="22"/>
          <w:u w:val="single"/>
        </w:rPr>
      </w:pPr>
      <w:r>
        <w:rPr>
          <w:rFonts w:asciiTheme="minorHAnsi" w:hAnsiTheme="minorHAnsi" w:cstheme="minorHAnsi"/>
          <w:sz w:val="22"/>
          <w:szCs w:val="22"/>
          <w:u w:val="single"/>
        </w:rPr>
        <w:t>5. Plan de ventilation – Synthèse</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6238"/>
        <w:gridCol w:w="1419"/>
        <w:gridCol w:w="1415"/>
      </w:tblGrid>
      <w:tr>
        <w:trPr>
          <w:trHeight w:val="515"/>
        </w:trPr>
        <w:tc>
          <w:tcPr>
            <w:tcW w:w="5000" w:type="pct"/>
            <w:gridSpan w:val="4"/>
            <w:tcBorders>
              <w:top w:val="single" w:sz="4" w:space="0" w:color="auto"/>
              <w:left w:val="single" w:sz="4" w:space="0" w:color="auto"/>
              <w:bottom w:val="single" w:sz="4" w:space="0" w:color="auto"/>
              <w:right w:val="single" w:sz="4" w:space="0" w:color="auto"/>
            </w:tcBorders>
            <w:vAlign w:val="center"/>
          </w:tcPr>
          <w:p>
            <w:pPr>
              <w:jc w:val="center"/>
              <w:rPr>
                <w:rFonts w:asciiTheme="minorHAnsi" w:hAnsiTheme="minorHAnsi" w:cstheme="minorHAnsi"/>
                <w:b/>
                <w:sz w:val="22"/>
                <w:szCs w:val="22"/>
              </w:rPr>
            </w:pPr>
            <w:r>
              <w:rPr>
                <w:rFonts w:asciiTheme="minorHAnsi" w:hAnsiTheme="minorHAnsi" w:cstheme="minorHAnsi"/>
                <w:b/>
                <w:sz w:val="22"/>
                <w:szCs w:val="22"/>
              </w:rPr>
              <w:t>Utilisation des périodes « encadrement différencié » reçues</w:t>
            </w:r>
          </w:p>
        </w:tc>
      </w:tr>
      <w:tr>
        <w:trPr>
          <w:trHeight w:val="466"/>
        </w:trPr>
        <w:tc>
          <w:tcPr>
            <w:tcW w:w="3508" w:type="pct"/>
            <w:gridSpan w:val="2"/>
            <w:vMerge w:val="restart"/>
            <w:vAlign w:val="center"/>
          </w:tcPr>
          <w:p>
            <w:pPr>
              <w:jc w:val="both"/>
              <w:rPr>
                <w:rFonts w:asciiTheme="minorHAnsi" w:hAnsiTheme="minorHAnsi" w:cstheme="minorHAnsi"/>
                <w:i/>
                <w:sz w:val="22"/>
                <w:szCs w:val="22"/>
              </w:rPr>
            </w:pPr>
            <w:r>
              <w:rPr>
                <w:rFonts w:asciiTheme="minorHAnsi" w:hAnsiTheme="minorHAnsi" w:cstheme="minorHAnsi"/>
                <w:i/>
                <w:sz w:val="22"/>
                <w:szCs w:val="22"/>
              </w:rPr>
              <w:t>Liste des utilisations autorisées à l’article 10, § 1</w:t>
            </w:r>
            <w:r>
              <w:rPr>
                <w:rFonts w:asciiTheme="minorHAnsi" w:hAnsiTheme="minorHAnsi" w:cstheme="minorHAnsi"/>
                <w:i/>
                <w:sz w:val="22"/>
                <w:szCs w:val="22"/>
                <w:vertAlign w:val="superscript"/>
              </w:rPr>
              <w:t>er</w:t>
            </w:r>
            <w:r>
              <w:rPr>
                <w:rFonts w:asciiTheme="minorHAnsi" w:hAnsiTheme="minorHAnsi" w:cstheme="minorHAnsi"/>
                <w:i/>
                <w:sz w:val="22"/>
                <w:szCs w:val="22"/>
              </w:rPr>
              <w:t xml:space="preserve"> du décret du 30 avril 2009 pour les moyens humains octroyés dans le cadre de l’encadrement différencié – Cocher les utilisations envisagées et l’affectation des périodes prévues</w:t>
            </w:r>
          </w:p>
        </w:tc>
        <w:tc>
          <w:tcPr>
            <w:tcW w:w="1492" w:type="pct"/>
            <w:gridSpan w:val="2"/>
            <w:vAlign w:val="center"/>
          </w:tcPr>
          <w:p>
            <w:pPr>
              <w:jc w:val="center"/>
              <w:rPr>
                <w:rFonts w:asciiTheme="minorHAnsi" w:hAnsiTheme="minorHAnsi" w:cstheme="minorHAnsi"/>
                <w:b/>
                <w:sz w:val="22"/>
                <w:szCs w:val="22"/>
              </w:rPr>
            </w:pPr>
            <w:r>
              <w:rPr>
                <w:rFonts w:asciiTheme="minorHAnsi" w:hAnsiTheme="minorHAnsi" w:cstheme="minorHAnsi"/>
                <w:b/>
                <w:sz w:val="22"/>
                <w:szCs w:val="22"/>
              </w:rPr>
              <w:t>Périodes</w:t>
            </w:r>
          </w:p>
        </w:tc>
      </w:tr>
      <w:tr>
        <w:trPr>
          <w:trHeight w:val="561"/>
        </w:trPr>
        <w:tc>
          <w:tcPr>
            <w:tcW w:w="3508" w:type="pct"/>
            <w:gridSpan w:val="2"/>
            <w:vMerge/>
            <w:vAlign w:val="center"/>
          </w:tcPr>
          <w:p>
            <w:pPr>
              <w:jc w:val="both"/>
              <w:rPr>
                <w:rFonts w:asciiTheme="minorHAnsi" w:hAnsiTheme="minorHAnsi" w:cstheme="minorHAnsi"/>
                <w:i/>
                <w:sz w:val="22"/>
                <w:szCs w:val="22"/>
              </w:rPr>
            </w:pPr>
          </w:p>
        </w:tc>
        <w:tc>
          <w:tcPr>
            <w:tcW w:w="747" w:type="pct"/>
            <w:vAlign w:val="center"/>
          </w:tcPr>
          <w:p>
            <w:pPr>
              <w:jc w:val="center"/>
              <w:rPr>
                <w:rFonts w:asciiTheme="minorHAnsi" w:hAnsiTheme="minorHAnsi" w:cstheme="minorHAnsi"/>
                <w:b/>
                <w:sz w:val="22"/>
                <w:szCs w:val="22"/>
                <w:u w:val="single"/>
              </w:rPr>
            </w:pPr>
            <w:r>
              <w:rPr>
                <w:rFonts w:asciiTheme="minorHAnsi" w:hAnsiTheme="minorHAnsi" w:cstheme="minorHAnsi"/>
                <w:b/>
                <w:sz w:val="22"/>
                <w:szCs w:val="22"/>
              </w:rPr>
              <w:t>Prévu</w:t>
            </w:r>
          </w:p>
        </w:tc>
        <w:tc>
          <w:tcPr>
            <w:tcW w:w="745" w:type="pct"/>
            <w:shd w:val="clear" w:color="auto" w:fill="D9D9D9" w:themeFill="background1" w:themeFillShade="D9"/>
            <w:vAlign w:val="center"/>
          </w:tcPr>
          <w:p>
            <w:pPr>
              <w:jc w:val="center"/>
              <w:rPr>
                <w:rFonts w:asciiTheme="minorHAnsi" w:hAnsiTheme="minorHAnsi" w:cstheme="minorHAnsi"/>
                <w:b/>
                <w:i/>
                <w:sz w:val="22"/>
                <w:szCs w:val="22"/>
              </w:rPr>
            </w:pPr>
            <w:r>
              <w:rPr>
                <w:rFonts w:asciiTheme="minorHAnsi" w:hAnsiTheme="minorHAnsi" w:cstheme="minorHAnsi"/>
                <w:b/>
                <w:i/>
                <w:sz w:val="22"/>
                <w:szCs w:val="22"/>
              </w:rPr>
              <w:t>Utilisé</w:t>
            </w:r>
          </w:p>
        </w:tc>
      </w:tr>
      <w:tr>
        <w:trPr>
          <w:trHeight w:val="509"/>
        </w:trPr>
        <w:tc>
          <w:tcPr>
            <w:tcW w:w="224" w:type="pct"/>
            <w:vAlign w:val="center"/>
          </w:tcPr>
          <w:p>
            <w:pPr>
              <w:rPr>
                <w:rFonts w:asciiTheme="minorHAnsi" w:hAnsiTheme="minorHAnsi" w:cstheme="minorHAnsi"/>
                <w:sz w:val="22"/>
                <w:szCs w:val="22"/>
              </w:rPr>
            </w:pPr>
            <w:r>
              <w:rPr>
                <w:rFonts w:asciiTheme="minorHAnsi" w:hAnsiTheme="minorHAnsi" w:cstheme="minorHAnsi"/>
                <w:b/>
                <w:szCs w:val="22"/>
              </w:rPr>
              <w:sym w:font="Wingdings" w:char="F0A8"/>
            </w:r>
          </w:p>
        </w:tc>
        <w:tc>
          <w:tcPr>
            <w:tcW w:w="3284" w:type="pct"/>
            <w:tcBorders>
              <w:right w:val="nil"/>
            </w:tcBorders>
            <w:vAlign w:val="center"/>
          </w:tcPr>
          <w:p>
            <w:pPr>
              <w:rPr>
                <w:rFonts w:asciiTheme="minorHAnsi" w:hAnsiTheme="minorHAnsi" w:cstheme="minorHAnsi"/>
                <w:sz w:val="22"/>
                <w:szCs w:val="22"/>
              </w:rPr>
            </w:pPr>
            <w:r>
              <w:rPr>
                <w:rFonts w:asciiTheme="minorHAnsi" w:hAnsiTheme="minorHAnsi" w:cstheme="minorHAnsi"/>
                <w:sz w:val="22"/>
                <w:szCs w:val="22"/>
              </w:rPr>
              <w:t>1 ° Enseignant</w:t>
            </w:r>
          </w:p>
        </w:tc>
        <w:tc>
          <w:tcPr>
            <w:tcW w:w="747" w:type="pct"/>
            <w:vAlign w:val="bottom"/>
          </w:tcPr>
          <w:p>
            <w:pPr>
              <w:jc w:val="center"/>
              <w:rPr>
                <w:rFonts w:asciiTheme="minorHAnsi" w:hAnsiTheme="minorHAnsi" w:cstheme="minorHAnsi"/>
                <w:sz w:val="22"/>
                <w:szCs w:val="22"/>
              </w:rPr>
            </w:pPr>
            <w:r>
              <w:rPr>
                <w:rFonts w:asciiTheme="minorHAnsi" w:hAnsiTheme="minorHAnsi" w:cstheme="minorHAnsi"/>
                <w:sz w:val="22"/>
                <w:szCs w:val="22"/>
              </w:rPr>
              <w:t>………….</w:t>
            </w:r>
          </w:p>
        </w:tc>
        <w:tc>
          <w:tcPr>
            <w:tcW w:w="745" w:type="pct"/>
            <w:shd w:val="clear" w:color="auto" w:fill="D9D9D9" w:themeFill="background1" w:themeFillShade="D9"/>
            <w:vAlign w:val="bottom"/>
          </w:tcPr>
          <w:p>
            <w:pPr>
              <w:jc w:val="center"/>
              <w:rPr>
                <w:rFonts w:asciiTheme="minorHAnsi" w:hAnsiTheme="minorHAnsi" w:cstheme="minorHAnsi"/>
                <w:sz w:val="22"/>
                <w:szCs w:val="22"/>
              </w:rPr>
            </w:pPr>
            <w:r>
              <w:rPr>
                <w:rFonts w:asciiTheme="minorHAnsi" w:hAnsiTheme="minorHAnsi" w:cstheme="minorHAnsi"/>
                <w:sz w:val="22"/>
                <w:szCs w:val="22"/>
              </w:rPr>
              <w:t>………….</w:t>
            </w:r>
          </w:p>
        </w:tc>
      </w:tr>
      <w:tr>
        <w:trPr>
          <w:trHeight w:val="489"/>
        </w:trPr>
        <w:tc>
          <w:tcPr>
            <w:tcW w:w="224" w:type="pct"/>
            <w:vAlign w:val="center"/>
          </w:tcPr>
          <w:p>
            <w:pPr>
              <w:rPr>
                <w:rFonts w:asciiTheme="minorHAnsi" w:hAnsiTheme="minorHAnsi" w:cstheme="minorHAnsi"/>
                <w:sz w:val="22"/>
                <w:szCs w:val="22"/>
              </w:rPr>
            </w:pPr>
            <w:r>
              <w:rPr>
                <w:rFonts w:asciiTheme="minorHAnsi" w:hAnsiTheme="minorHAnsi" w:cstheme="minorHAnsi"/>
                <w:b/>
                <w:szCs w:val="22"/>
              </w:rPr>
              <w:sym w:font="Wingdings" w:char="F0A8"/>
            </w:r>
          </w:p>
        </w:tc>
        <w:tc>
          <w:tcPr>
            <w:tcW w:w="3284" w:type="pct"/>
            <w:tcBorders>
              <w:right w:val="nil"/>
            </w:tcBorders>
            <w:vAlign w:val="center"/>
          </w:tcPr>
          <w:p>
            <w:pPr>
              <w:rPr>
                <w:rFonts w:asciiTheme="minorHAnsi" w:hAnsiTheme="minorHAnsi" w:cstheme="minorHAnsi"/>
                <w:sz w:val="22"/>
                <w:szCs w:val="22"/>
              </w:rPr>
            </w:pPr>
            <w:r>
              <w:rPr>
                <w:rFonts w:asciiTheme="minorHAnsi" w:hAnsiTheme="minorHAnsi" w:cstheme="minorHAnsi"/>
                <w:sz w:val="22"/>
                <w:szCs w:val="22"/>
              </w:rPr>
              <w:t>2 ° Personnel auxiliaire d’éducation</w:t>
            </w:r>
          </w:p>
        </w:tc>
        <w:tc>
          <w:tcPr>
            <w:tcW w:w="747" w:type="pct"/>
            <w:vAlign w:val="bottom"/>
          </w:tcPr>
          <w:p>
            <w:pPr>
              <w:jc w:val="center"/>
              <w:rPr>
                <w:rFonts w:asciiTheme="minorHAnsi" w:hAnsiTheme="minorHAnsi" w:cstheme="minorHAnsi"/>
                <w:sz w:val="22"/>
                <w:szCs w:val="22"/>
              </w:rPr>
            </w:pPr>
            <w:r>
              <w:rPr>
                <w:rFonts w:asciiTheme="minorHAnsi" w:hAnsiTheme="minorHAnsi" w:cstheme="minorHAnsi"/>
                <w:sz w:val="22"/>
                <w:szCs w:val="22"/>
              </w:rPr>
              <w:t>………….</w:t>
            </w:r>
          </w:p>
        </w:tc>
        <w:tc>
          <w:tcPr>
            <w:tcW w:w="745" w:type="pct"/>
            <w:shd w:val="clear" w:color="auto" w:fill="D9D9D9" w:themeFill="background1" w:themeFillShade="D9"/>
            <w:vAlign w:val="bottom"/>
          </w:tcPr>
          <w:p>
            <w:pPr>
              <w:jc w:val="center"/>
              <w:rPr>
                <w:rFonts w:asciiTheme="minorHAnsi" w:hAnsiTheme="minorHAnsi" w:cstheme="minorHAnsi"/>
                <w:sz w:val="22"/>
                <w:szCs w:val="22"/>
              </w:rPr>
            </w:pPr>
            <w:r>
              <w:rPr>
                <w:rFonts w:asciiTheme="minorHAnsi" w:hAnsiTheme="minorHAnsi" w:cstheme="minorHAnsi"/>
                <w:sz w:val="22"/>
                <w:szCs w:val="22"/>
              </w:rPr>
              <w:t>………….</w:t>
            </w:r>
          </w:p>
        </w:tc>
      </w:tr>
      <w:tr>
        <w:trPr>
          <w:trHeight w:val="497"/>
        </w:trPr>
        <w:tc>
          <w:tcPr>
            <w:tcW w:w="224" w:type="pct"/>
            <w:vAlign w:val="center"/>
          </w:tcPr>
          <w:p>
            <w:pPr>
              <w:rPr>
                <w:rFonts w:asciiTheme="minorHAnsi" w:hAnsiTheme="minorHAnsi" w:cstheme="minorHAnsi"/>
                <w:sz w:val="22"/>
                <w:szCs w:val="22"/>
              </w:rPr>
            </w:pPr>
            <w:r>
              <w:rPr>
                <w:rFonts w:asciiTheme="minorHAnsi" w:hAnsiTheme="minorHAnsi" w:cstheme="minorHAnsi"/>
                <w:b/>
                <w:szCs w:val="22"/>
              </w:rPr>
              <w:sym w:font="Wingdings" w:char="F0A8"/>
            </w:r>
          </w:p>
        </w:tc>
        <w:tc>
          <w:tcPr>
            <w:tcW w:w="3284" w:type="pct"/>
            <w:tcBorders>
              <w:right w:val="nil"/>
            </w:tcBorders>
            <w:vAlign w:val="center"/>
          </w:tcPr>
          <w:p>
            <w:pPr>
              <w:rPr>
                <w:rFonts w:asciiTheme="minorHAnsi" w:hAnsiTheme="minorHAnsi" w:cstheme="minorHAnsi"/>
                <w:sz w:val="22"/>
                <w:szCs w:val="22"/>
              </w:rPr>
            </w:pPr>
            <w:r>
              <w:rPr>
                <w:rFonts w:asciiTheme="minorHAnsi" w:hAnsiTheme="minorHAnsi" w:cstheme="minorHAnsi"/>
                <w:sz w:val="22"/>
                <w:szCs w:val="22"/>
              </w:rPr>
              <w:t>3 ° Proviseur ou sous-directeur</w:t>
            </w:r>
          </w:p>
        </w:tc>
        <w:tc>
          <w:tcPr>
            <w:tcW w:w="747" w:type="pct"/>
            <w:vAlign w:val="bottom"/>
          </w:tcPr>
          <w:p>
            <w:pPr>
              <w:jc w:val="center"/>
              <w:rPr>
                <w:rFonts w:asciiTheme="minorHAnsi" w:hAnsiTheme="minorHAnsi" w:cstheme="minorHAnsi"/>
                <w:sz w:val="22"/>
                <w:szCs w:val="22"/>
              </w:rPr>
            </w:pPr>
            <w:r>
              <w:rPr>
                <w:rFonts w:asciiTheme="minorHAnsi" w:hAnsiTheme="minorHAnsi" w:cstheme="minorHAnsi"/>
                <w:sz w:val="22"/>
                <w:szCs w:val="22"/>
              </w:rPr>
              <w:t>………….</w:t>
            </w:r>
          </w:p>
        </w:tc>
        <w:tc>
          <w:tcPr>
            <w:tcW w:w="745" w:type="pct"/>
            <w:shd w:val="clear" w:color="auto" w:fill="D9D9D9" w:themeFill="background1" w:themeFillShade="D9"/>
            <w:vAlign w:val="bottom"/>
          </w:tcPr>
          <w:p>
            <w:pPr>
              <w:jc w:val="center"/>
              <w:rPr>
                <w:rFonts w:asciiTheme="minorHAnsi" w:hAnsiTheme="minorHAnsi" w:cstheme="minorHAnsi"/>
                <w:sz w:val="22"/>
                <w:szCs w:val="22"/>
              </w:rPr>
            </w:pPr>
            <w:r>
              <w:rPr>
                <w:rFonts w:asciiTheme="minorHAnsi" w:hAnsiTheme="minorHAnsi" w:cstheme="minorHAnsi"/>
                <w:sz w:val="22"/>
                <w:szCs w:val="22"/>
              </w:rPr>
              <w:t>………….</w:t>
            </w:r>
          </w:p>
        </w:tc>
      </w:tr>
      <w:tr>
        <w:trPr>
          <w:trHeight w:val="714"/>
        </w:trPr>
        <w:tc>
          <w:tcPr>
            <w:tcW w:w="224" w:type="pct"/>
            <w:vAlign w:val="center"/>
          </w:tcPr>
          <w:p>
            <w:pPr>
              <w:rPr>
                <w:rFonts w:asciiTheme="minorHAnsi" w:hAnsiTheme="minorHAnsi" w:cstheme="minorHAnsi"/>
                <w:sz w:val="22"/>
                <w:szCs w:val="22"/>
              </w:rPr>
            </w:pPr>
            <w:r>
              <w:rPr>
                <w:rFonts w:asciiTheme="minorHAnsi" w:hAnsiTheme="minorHAnsi" w:cstheme="minorHAnsi"/>
                <w:b/>
                <w:szCs w:val="22"/>
              </w:rPr>
              <w:sym w:font="Wingdings" w:char="F0A8"/>
            </w:r>
          </w:p>
        </w:tc>
        <w:tc>
          <w:tcPr>
            <w:tcW w:w="3284" w:type="pct"/>
            <w:tcBorders>
              <w:right w:val="nil"/>
            </w:tcBorders>
            <w:vAlign w:val="center"/>
          </w:tcPr>
          <w:p>
            <w:pPr>
              <w:ind w:left="176" w:hanging="176"/>
              <w:rPr>
                <w:rFonts w:asciiTheme="minorHAnsi" w:hAnsiTheme="minorHAnsi" w:cstheme="minorHAnsi"/>
                <w:sz w:val="22"/>
                <w:szCs w:val="22"/>
              </w:rPr>
            </w:pPr>
            <w:r>
              <w:rPr>
                <w:rFonts w:asciiTheme="minorHAnsi" w:hAnsiTheme="minorHAnsi" w:cstheme="minorHAnsi"/>
                <w:sz w:val="22"/>
                <w:szCs w:val="22"/>
              </w:rPr>
              <w:t>4 ° Auxiliaire social, auxiliaire paramédical, auxiliaire psychopédagogique ou conseiller psychopédagogique via le CPMS</w:t>
            </w:r>
          </w:p>
        </w:tc>
        <w:tc>
          <w:tcPr>
            <w:tcW w:w="747" w:type="pct"/>
            <w:vAlign w:val="bottom"/>
          </w:tcPr>
          <w:p>
            <w:pPr>
              <w:jc w:val="center"/>
              <w:rPr>
                <w:rFonts w:asciiTheme="minorHAnsi" w:hAnsiTheme="minorHAnsi" w:cstheme="minorHAnsi"/>
                <w:sz w:val="22"/>
                <w:szCs w:val="22"/>
              </w:rPr>
            </w:pPr>
            <w:r>
              <w:rPr>
                <w:rFonts w:asciiTheme="minorHAnsi" w:hAnsiTheme="minorHAnsi" w:cstheme="minorHAnsi"/>
                <w:sz w:val="22"/>
                <w:szCs w:val="22"/>
              </w:rPr>
              <w:t>………….</w:t>
            </w:r>
          </w:p>
        </w:tc>
        <w:tc>
          <w:tcPr>
            <w:tcW w:w="745" w:type="pct"/>
            <w:shd w:val="clear" w:color="auto" w:fill="D9D9D9" w:themeFill="background1" w:themeFillShade="D9"/>
            <w:vAlign w:val="bottom"/>
          </w:tcPr>
          <w:p>
            <w:pPr>
              <w:jc w:val="center"/>
              <w:rPr>
                <w:rFonts w:asciiTheme="minorHAnsi" w:hAnsiTheme="minorHAnsi" w:cstheme="minorHAnsi"/>
                <w:sz w:val="22"/>
                <w:szCs w:val="22"/>
              </w:rPr>
            </w:pPr>
            <w:r>
              <w:rPr>
                <w:rFonts w:asciiTheme="minorHAnsi" w:hAnsiTheme="minorHAnsi" w:cstheme="minorHAnsi"/>
                <w:sz w:val="22"/>
                <w:szCs w:val="22"/>
              </w:rPr>
              <w:t>………….</w:t>
            </w:r>
          </w:p>
        </w:tc>
      </w:tr>
      <w:tr>
        <w:trPr>
          <w:trHeight w:val="782"/>
        </w:trPr>
        <w:tc>
          <w:tcPr>
            <w:tcW w:w="224" w:type="pct"/>
            <w:vAlign w:val="center"/>
          </w:tcPr>
          <w:p>
            <w:pPr>
              <w:spacing w:before="80"/>
              <w:rPr>
                <w:rFonts w:asciiTheme="minorHAnsi" w:hAnsiTheme="minorHAnsi" w:cstheme="minorHAnsi"/>
                <w:sz w:val="22"/>
                <w:szCs w:val="22"/>
              </w:rPr>
            </w:pPr>
            <w:r>
              <w:rPr>
                <w:rFonts w:asciiTheme="minorHAnsi" w:hAnsiTheme="minorHAnsi" w:cstheme="minorHAnsi"/>
                <w:b/>
                <w:szCs w:val="22"/>
              </w:rPr>
              <w:sym w:font="Wingdings" w:char="F0A8"/>
            </w:r>
          </w:p>
        </w:tc>
        <w:tc>
          <w:tcPr>
            <w:tcW w:w="3284" w:type="pct"/>
            <w:tcBorders>
              <w:right w:val="nil"/>
            </w:tcBorders>
            <w:vAlign w:val="center"/>
          </w:tcPr>
          <w:p>
            <w:pPr>
              <w:ind w:left="176" w:hanging="176"/>
              <w:rPr>
                <w:rFonts w:asciiTheme="minorHAnsi" w:hAnsiTheme="minorHAnsi" w:cstheme="minorHAnsi"/>
                <w:sz w:val="22"/>
                <w:szCs w:val="22"/>
              </w:rPr>
            </w:pPr>
            <w:r>
              <w:rPr>
                <w:rFonts w:asciiTheme="minorHAnsi" w:hAnsiTheme="minorHAnsi" w:cstheme="minorHAnsi"/>
                <w:sz w:val="22"/>
                <w:szCs w:val="22"/>
              </w:rPr>
              <w:t>5 ° Mise à disposition spécifique d’un membre du personnel enseignant d’un établissement secondaire artistique à horaire réduit (ESAHR)</w:t>
            </w:r>
          </w:p>
        </w:tc>
        <w:tc>
          <w:tcPr>
            <w:tcW w:w="747" w:type="pct"/>
            <w:vAlign w:val="bottom"/>
          </w:tcPr>
          <w:p>
            <w:pPr>
              <w:jc w:val="center"/>
              <w:rPr>
                <w:rFonts w:asciiTheme="minorHAnsi" w:hAnsiTheme="minorHAnsi" w:cstheme="minorHAnsi"/>
                <w:sz w:val="22"/>
                <w:szCs w:val="22"/>
              </w:rPr>
            </w:pPr>
            <w:r>
              <w:rPr>
                <w:rFonts w:asciiTheme="minorHAnsi" w:hAnsiTheme="minorHAnsi" w:cstheme="minorHAnsi"/>
                <w:sz w:val="22"/>
                <w:szCs w:val="22"/>
              </w:rPr>
              <w:t>………….</w:t>
            </w:r>
          </w:p>
        </w:tc>
        <w:tc>
          <w:tcPr>
            <w:tcW w:w="745" w:type="pct"/>
            <w:shd w:val="clear" w:color="auto" w:fill="D9D9D9" w:themeFill="background1" w:themeFillShade="D9"/>
            <w:vAlign w:val="bottom"/>
          </w:tcPr>
          <w:p>
            <w:pPr>
              <w:jc w:val="center"/>
              <w:rPr>
                <w:rFonts w:asciiTheme="minorHAnsi" w:hAnsiTheme="minorHAnsi" w:cstheme="minorHAnsi"/>
                <w:sz w:val="22"/>
                <w:szCs w:val="22"/>
              </w:rPr>
            </w:pPr>
            <w:r>
              <w:rPr>
                <w:rFonts w:asciiTheme="minorHAnsi" w:hAnsiTheme="minorHAnsi" w:cstheme="minorHAnsi"/>
                <w:sz w:val="22"/>
                <w:szCs w:val="22"/>
              </w:rPr>
              <w:t>………….</w:t>
            </w:r>
          </w:p>
        </w:tc>
      </w:tr>
      <w:tr>
        <w:trPr>
          <w:trHeight w:val="509"/>
        </w:trPr>
        <w:tc>
          <w:tcPr>
            <w:tcW w:w="3508" w:type="pct"/>
            <w:gridSpan w:val="2"/>
            <w:vAlign w:val="center"/>
          </w:tcPr>
          <w:p>
            <w:pPr>
              <w:spacing w:before="80"/>
              <w:rPr>
                <w:rFonts w:asciiTheme="minorHAnsi" w:hAnsiTheme="minorHAnsi" w:cstheme="minorHAnsi"/>
                <w:b/>
                <w:sz w:val="22"/>
                <w:szCs w:val="22"/>
              </w:rPr>
            </w:pPr>
            <w:r>
              <w:rPr>
                <w:rFonts w:asciiTheme="minorHAnsi" w:hAnsiTheme="minorHAnsi" w:cstheme="minorHAnsi"/>
                <w:b/>
                <w:sz w:val="22"/>
                <w:szCs w:val="22"/>
              </w:rPr>
              <w:t>Total</w:t>
            </w:r>
          </w:p>
        </w:tc>
        <w:tc>
          <w:tcPr>
            <w:tcW w:w="747" w:type="pct"/>
            <w:vAlign w:val="bottom"/>
          </w:tcPr>
          <w:p>
            <w:pPr>
              <w:jc w:val="center"/>
              <w:rPr>
                <w:rFonts w:asciiTheme="minorHAnsi" w:hAnsiTheme="minorHAnsi" w:cstheme="minorHAnsi"/>
                <w:sz w:val="22"/>
                <w:szCs w:val="22"/>
              </w:rPr>
            </w:pPr>
            <w:r>
              <w:rPr>
                <w:rFonts w:asciiTheme="minorHAnsi" w:hAnsiTheme="minorHAnsi" w:cstheme="minorHAnsi"/>
                <w:sz w:val="22"/>
                <w:szCs w:val="22"/>
              </w:rPr>
              <w:t>………….</w:t>
            </w:r>
          </w:p>
        </w:tc>
        <w:tc>
          <w:tcPr>
            <w:tcW w:w="745" w:type="pct"/>
            <w:shd w:val="clear" w:color="auto" w:fill="D9D9D9" w:themeFill="background1" w:themeFillShade="D9"/>
            <w:vAlign w:val="bottom"/>
          </w:tcPr>
          <w:p>
            <w:pPr>
              <w:jc w:val="center"/>
              <w:rPr>
                <w:rFonts w:asciiTheme="minorHAnsi" w:hAnsiTheme="minorHAnsi" w:cstheme="minorHAnsi"/>
                <w:sz w:val="22"/>
                <w:szCs w:val="22"/>
              </w:rPr>
            </w:pPr>
            <w:r>
              <w:rPr>
                <w:rFonts w:asciiTheme="minorHAnsi" w:hAnsiTheme="minorHAnsi" w:cstheme="minorHAnsi"/>
                <w:sz w:val="22"/>
                <w:szCs w:val="22"/>
              </w:rPr>
              <w:t>………….</w:t>
            </w:r>
          </w:p>
        </w:tc>
      </w:tr>
    </w:tbl>
    <w:p>
      <w:pPr>
        <w:rPr>
          <w:rFonts w:asciiTheme="minorHAnsi" w:hAnsiTheme="minorHAnsi" w:cstheme="minorHAnsi"/>
          <w:sz w:val="22"/>
          <w:szCs w:val="22"/>
          <w:highlight w:val="yellow"/>
        </w:rPr>
      </w:pPr>
    </w:p>
    <w:tbl>
      <w:tblPr>
        <w:tblW w:w="511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
        <w:gridCol w:w="515"/>
        <w:gridCol w:w="5951"/>
        <w:gridCol w:w="1275"/>
        <w:gridCol w:w="1277"/>
      </w:tblGrid>
      <w:tr>
        <w:trPr>
          <w:trHeight w:val="447"/>
        </w:trPr>
        <w:tc>
          <w:tcPr>
            <w:tcW w:w="5000" w:type="pct"/>
            <w:gridSpan w:val="5"/>
            <w:vAlign w:val="center"/>
          </w:tcPr>
          <w:p>
            <w:pPr>
              <w:jc w:val="center"/>
              <w:rPr>
                <w:rFonts w:asciiTheme="minorHAnsi" w:hAnsiTheme="minorHAnsi" w:cstheme="minorHAnsi"/>
                <w:sz w:val="22"/>
                <w:szCs w:val="22"/>
              </w:rPr>
            </w:pPr>
            <w:r>
              <w:rPr>
                <w:rFonts w:asciiTheme="minorHAnsi" w:hAnsiTheme="minorHAnsi" w:cstheme="minorHAnsi"/>
                <w:b/>
                <w:sz w:val="22"/>
                <w:szCs w:val="22"/>
              </w:rPr>
              <w:t>Utilisation des moyens de fonctionnement reçus pour l’année scolaire concernée et du solde éventuel de l’année scolaire antérieure (Total disponible de la page 1)</w:t>
            </w:r>
          </w:p>
        </w:tc>
      </w:tr>
      <w:tr>
        <w:trPr>
          <w:trHeight w:val="818"/>
        </w:trPr>
        <w:tc>
          <w:tcPr>
            <w:tcW w:w="3657" w:type="pct"/>
            <w:gridSpan w:val="3"/>
            <w:vMerge w:val="restart"/>
            <w:vAlign w:val="center"/>
          </w:tcPr>
          <w:p>
            <w:pPr>
              <w:rPr>
                <w:rFonts w:asciiTheme="minorHAnsi" w:hAnsiTheme="minorHAnsi" w:cstheme="minorHAnsi"/>
                <w:i/>
                <w:sz w:val="22"/>
                <w:szCs w:val="22"/>
              </w:rPr>
            </w:pPr>
            <w:r>
              <w:rPr>
                <w:rFonts w:asciiTheme="minorHAnsi" w:hAnsiTheme="minorHAnsi" w:cstheme="minorHAnsi"/>
                <w:i/>
                <w:sz w:val="22"/>
                <w:szCs w:val="22"/>
              </w:rPr>
              <w:t>Liste des utilisations autorisées à l’article 10, § 2 du décret du 30 avril 2009 pour les moyens de fonctionnement octroyés dans le cadre de l’encadrement différencié – Cocher les utilisations envisagées et l’affectation des budgets prévus.</w:t>
            </w:r>
          </w:p>
          <w:p>
            <w:pPr>
              <w:rPr>
                <w:rFonts w:asciiTheme="minorHAnsi" w:hAnsiTheme="minorHAnsi" w:cstheme="minorHAnsi"/>
                <w:b/>
                <w:sz w:val="22"/>
                <w:szCs w:val="22"/>
              </w:rPr>
            </w:pPr>
            <w:r>
              <w:rPr>
                <w:rFonts w:asciiTheme="minorHAnsi" w:hAnsiTheme="minorHAnsi" w:cstheme="minorHAnsi"/>
                <w:b/>
                <w:sz w:val="22"/>
                <w:szCs w:val="22"/>
              </w:rPr>
              <w:t>Les utilisations en gras dans ce tableau représentent les catégories prises en compte pour le calcul des 25 %.</w:t>
            </w:r>
          </w:p>
        </w:tc>
        <w:tc>
          <w:tcPr>
            <w:tcW w:w="1343" w:type="pct"/>
            <w:gridSpan w:val="2"/>
            <w:vAlign w:val="center"/>
          </w:tcPr>
          <w:p>
            <w:pPr>
              <w:jc w:val="center"/>
              <w:rPr>
                <w:rFonts w:asciiTheme="minorHAnsi" w:hAnsiTheme="minorHAnsi" w:cstheme="minorHAnsi"/>
                <w:b/>
                <w:sz w:val="22"/>
                <w:szCs w:val="22"/>
              </w:rPr>
            </w:pPr>
            <w:r>
              <w:rPr>
                <w:rFonts w:asciiTheme="minorHAnsi" w:hAnsiTheme="minorHAnsi" w:cstheme="minorHAnsi"/>
                <w:b/>
                <w:sz w:val="22"/>
                <w:szCs w:val="22"/>
              </w:rPr>
              <w:t>Budget</w:t>
            </w:r>
          </w:p>
        </w:tc>
      </w:tr>
      <w:tr>
        <w:trPr>
          <w:trHeight w:val="862"/>
        </w:trPr>
        <w:tc>
          <w:tcPr>
            <w:tcW w:w="3657" w:type="pct"/>
            <w:gridSpan w:val="3"/>
            <w:vMerge/>
            <w:tcBorders>
              <w:bottom w:val="single" w:sz="4" w:space="0" w:color="auto"/>
            </w:tcBorders>
            <w:vAlign w:val="center"/>
          </w:tcPr>
          <w:p>
            <w:pPr>
              <w:rPr>
                <w:rFonts w:asciiTheme="minorHAnsi" w:hAnsiTheme="minorHAnsi" w:cstheme="minorHAnsi"/>
                <w:i/>
                <w:sz w:val="22"/>
                <w:szCs w:val="22"/>
              </w:rPr>
            </w:pPr>
          </w:p>
        </w:tc>
        <w:tc>
          <w:tcPr>
            <w:tcW w:w="671" w:type="pct"/>
            <w:vAlign w:val="center"/>
          </w:tcPr>
          <w:p>
            <w:pPr>
              <w:jc w:val="center"/>
              <w:rPr>
                <w:rFonts w:asciiTheme="minorHAnsi" w:hAnsiTheme="minorHAnsi" w:cstheme="minorHAnsi"/>
                <w:b/>
                <w:sz w:val="22"/>
                <w:szCs w:val="22"/>
              </w:rPr>
            </w:pPr>
            <w:r>
              <w:rPr>
                <w:rFonts w:asciiTheme="minorHAnsi" w:hAnsiTheme="minorHAnsi" w:cstheme="minorHAnsi"/>
                <w:b/>
                <w:sz w:val="22"/>
                <w:szCs w:val="22"/>
              </w:rPr>
              <w:t>Prévu</w:t>
            </w:r>
          </w:p>
        </w:tc>
        <w:tc>
          <w:tcPr>
            <w:tcW w:w="672" w:type="pct"/>
            <w:shd w:val="clear" w:color="auto" w:fill="D9D9D9" w:themeFill="background1" w:themeFillShade="D9"/>
            <w:vAlign w:val="center"/>
          </w:tcPr>
          <w:p>
            <w:pPr>
              <w:jc w:val="center"/>
              <w:rPr>
                <w:rFonts w:asciiTheme="minorHAnsi" w:hAnsiTheme="minorHAnsi" w:cstheme="minorHAnsi"/>
                <w:b/>
                <w:sz w:val="22"/>
                <w:szCs w:val="22"/>
              </w:rPr>
            </w:pPr>
            <w:r>
              <w:rPr>
                <w:rFonts w:asciiTheme="minorHAnsi" w:hAnsiTheme="minorHAnsi" w:cstheme="minorHAnsi"/>
                <w:b/>
                <w:sz w:val="22"/>
                <w:szCs w:val="22"/>
              </w:rPr>
              <w:t>Utilisé</w:t>
            </w:r>
          </w:p>
        </w:tc>
      </w:tr>
      <w:tr>
        <w:trPr>
          <w:trHeight w:val="835"/>
        </w:trPr>
        <w:tc>
          <w:tcPr>
            <w:tcW w:w="253" w:type="pct"/>
            <w:tcBorders>
              <w:bottom w:val="single" w:sz="4" w:space="0" w:color="auto"/>
            </w:tcBorders>
          </w:tcPr>
          <w:p>
            <w:pPr>
              <w:spacing w:before="120"/>
              <w:rPr>
                <w:rFonts w:asciiTheme="minorHAnsi" w:hAnsiTheme="minorHAnsi" w:cstheme="minorHAnsi"/>
                <w:sz w:val="22"/>
                <w:szCs w:val="22"/>
              </w:rPr>
            </w:pPr>
            <w:r>
              <w:rPr>
                <w:rFonts w:asciiTheme="minorHAnsi" w:hAnsiTheme="minorHAnsi" w:cstheme="minorHAnsi"/>
                <w:szCs w:val="22"/>
              </w:rPr>
              <w:sym w:font="Wingdings" w:char="F0A8"/>
            </w:r>
          </w:p>
        </w:tc>
        <w:tc>
          <w:tcPr>
            <w:tcW w:w="271" w:type="pct"/>
            <w:tcBorders>
              <w:bottom w:val="single" w:sz="4" w:space="0" w:color="auto"/>
            </w:tcBorders>
          </w:tcPr>
          <w:p>
            <w:pPr>
              <w:spacing w:before="120"/>
              <w:rPr>
                <w:rFonts w:asciiTheme="minorHAnsi" w:hAnsiTheme="minorHAnsi" w:cstheme="minorHAnsi"/>
                <w:b/>
                <w:sz w:val="22"/>
                <w:szCs w:val="22"/>
              </w:rPr>
            </w:pPr>
            <w:r>
              <w:rPr>
                <w:rFonts w:asciiTheme="minorHAnsi" w:hAnsiTheme="minorHAnsi" w:cstheme="minorHAnsi"/>
                <w:b/>
                <w:sz w:val="22"/>
                <w:szCs w:val="22"/>
              </w:rPr>
              <w:t>1°</w:t>
            </w:r>
          </w:p>
        </w:tc>
        <w:tc>
          <w:tcPr>
            <w:tcW w:w="3132" w:type="pct"/>
            <w:tcBorders>
              <w:bottom w:val="single" w:sz="4" w:space="0" w:color="auto"/>
            </w:tcBorders>
          </w:tcPr>
          <w:p>
            <w:pPr>
              <w:spacing w:before="120" w:after="80"/>
              <w:rPr>
                <w:rFonts w:asciiTheme="minorHAnsi" w:hAnsiTheme="minorHAnsi" w:cstheme="minorHAnsi"/>
                <w:b/>
                <w:sz w:val="22"/>
                <w:szCs w:val="22"/>
              </w:rPr>
            </w:pPr>
            <w:r>
              <w:rPr>
                <w:rFonts w:asciiTheme="minorHAnsi" w:hAnsiTheme="minorHAnsi" w:cstheme="minorHAnsi"/>
                <w:b/>
                <w:sz w:val="22"/>
                <w:szCs w:val="22"/>
              </w:rPr>
              <w:t>Personnel non enseignant sous CDD, contrat de prestation de services, contrat de collaboration :</w:t>
            </w:r>
          </w:p>
          <w:p>
            <w:pPr>
              <w:spacing w:after="80"/>
              <w:rPr>
                <w:rFonts w:asciiTheme="minorHAnsi" w:hAnsiTheme="minorHAnsi" w:cstheme="minorHAnsi"/>
                <w:b/>
                <w:sz w:val="22"/>
                <w:szCs w:val="22"/>
              </w:rPr>
            </w:pPr>
            <w:r>
              <w:rPr>
                <w:rFonts w:asciiTheme="minorHAnsi" w:hAnsiTheme="minorHAnsi" w:cstheme="minorHAnsi"/>
                <w:b/>
                <w:sz w:val="22"/>
                <w:szCs w:val="22"/>
              </w:rPr>
              <w:sym w:font="Wingdings" w:char="F0A8"/>
            </w:r>
            <w:r>
              <w:rPr>
                <w:rFonts w:asciiTheme="minorHAnsi" w:hAnsiTheme="minorHAnsi" w:cstheme="minorHAnsi"/>
                <w:b/>
                <w:sz w:val="22"/>
                <w:szCs w:val="22"/>
              </w:rPr>
              <w:t xml:space="preserve"> logopède</w:t>
            </w:r>
          </w:p>
          <w:p>
            <w:pPr>
              <w:spacing w:after="80"/>
              <w:ind w:left="317" w:hanging="317"/>
              <w:rPr>
                <w:rFonts w:asciiTheme="minorHAnsi" w:hAnsiTheme="minorHAnsi" w:cstheme="minorHAnsi"/>
                <w:b/>
                <w:sz w:val="22"/>
                <w:szCs w:val="22"/>
              </w:rPr>
            </w:pPr>
            <w:r>
              <w:rPr>
                <w:rFonts w:asciiTheme="minorHAnsi" w:hAnsiTheme="minorHAnsi" w:cstheme="minorHAnsi"/>
                <w:b/>
                <w:sz w:val="22"/>
                <w:szCs w:val="22"/>
              </w:rPr>
              <w:sym w:font="Wingdings" w:char="F0A8"/>
            </w:r>
            <w:r>
              <w:rPr>
                <w:rFonts w:asciiTheme="minorHAnsi" w:hAnsiTheme="minorHAnsi" w:cstheme="minorHAnsi"/>
                <w:b/>
                <w:sz w:val="22"/>
                <w:szCs w:val="22"/>
              </w:rPr>
              <w:t xml:space="preserve"> personnel chargé de l’encadrement des élèves en dehors des heures de cours</w:t>
            </w:r>
          </w:p>
          <w:p>
            <w:pPr>
              <w:spacing w:after="80"/>
              <w:ind w:left="317" w:hanging="317"/>
              <w:rPr>
                <w:rFonts w:asciiTheme="minorHAnsi" w:hAnsiTheme="minorHAnsi" w:cstheme="minorHAnsi"/>
                <w:b/>
                <w:sz w:val="22"/>
                <w:szCs w:val="22"/>
              </w:rPr>
            </w:pPr>
            <w:r>
              <w:rPr>
                <w:rFonts w:asciiTheme="minorHAnsi" w:hAnsiTheme="minorHAnsi" w:cstheme="minorHAnsi"/>
                <w:b/>
                <w:sz w:val="22"/>
                <w:szCs w:val="22"/>
              </w:rPr>
              <w:sym w:font="Wingdings" w:char="F0A8"/>
            </w:r>
            <w:r>
              <w:rPr>
                <w:rFonts w:asciiTheme="minorHAnsi" w:hAnsiTheme="minorHAnsi" w:cstheme="minorHAnsi"/>
                <w:b/>
                <w:sz w:val="22"/>
                <w:szCs w:val="22"/>
              </w:rPr>
              <w:t xml:space="preserve"> association ou organisme pédagogique, éducatif, culturel, sportif</w:t>
            </w:r>
          </w:p>
          <w:p>
            <w:pPr>
              <w:spacing w:after="80"/>
              <w:rPr>
                <w:rFonts w:asciiTheme="minorHAnsi" w:hAnsiTheme="minorHAnsi" w:cstheme="minorHAnsi"/>
                <w:b/>
                <w:sz w:val="22"/>
                <w:szCs w:val="22"/>
              </w:rPr>
            </w:pPr>
            <w:r>
              <w:rPr>
                <w:rFonts w:asciiTheme="minorHAnsi" w:hAnsiTheme="minorHAnsi" w:cstheme="minorHAnsi"/>
                <w:b/>
                <w:sz w:val="22"/>
                <w:szCs w:val="22"/>
              </w:rPr>
              <w:sym w:font="Wingdings" w:char="F0A8"/>
            </w:r>
            <w:r>
              <w:rPr>
                <w:rFonts w:asciiTheme="minorHAnsi" w:hAnsiTheme="minorHAnsi" w:cstheme="minorHAnsi"/>
                <w:b/>
                <w:sz w:val="22"/>
                <w:szCs w:val="22"/>
              </w:rPr>
              <w:t xml:space="preserve"> médiateur</w:t>
            </w:r>
          </w:p>
          <w:p>
            <w:pPr>
              <w:spacing w:after="80"/>
              <w:rPr>
                <w:rFonts w:asciiTheme="minorHAnsi" w:hAnsiTheme="minorHAnsi" w:cstheme="minorHAnsi"/>
                <w:b/>
                <w:sz w:val="22"/>
                <w:szCs w:val="22"/>
              </w:rPr>
            </w:pPr>
            <w:r>
              <w:rPr>
                <w:rFonts w:asciiTheme="minorHAnsi" w:hAnsiTheme="minorHAnsi" w:cstheme="minorHAnsi"/>
                <w:b/>
                <w:sz w:val="22"/>
                <w:szCs w:val="22"/>
              </w:rPr>
              <w:sym w:font="Wingdings" w:char="F0A8"/>
            </w:r>
            <w:r>
              <w:rPr>
                <w:rFonts w:asciiTheme="minorHAnsi" w:hAnsiTheme="minorHAnsi" w:cstheme="minorHAnsi"/>
                <w:b/>
                <w:sz w:val="22"/>
                <w:szCs w:val="22"/>
              </w:rPr>
              <w:t xml:space="preserve"> bibliothécaire et responsable multimédias</w:t>
            </w:r>
          </w:p>
          <w:p>
            <w:pPr>
              <w:spacing w:after="80"/>
              <w:rPr>
                <w:rFonts w:asciiTheme="minorHAnsi" w:hAnsiTheme="minorHAnsi" w:cstheme="minorHAnsi"/>
                <w:b/>
                <w:sz w:val="22"/>
                <w:szCs w:val="22"/>
              </w:rPr>
            </w:pPr>
            <w:r>
              <w:rPr>
                <w:rFonts w:asciiTheme="minorHAnsi" w:hAnsiTheme="minorHAnsi" w:cstheme="minorHAnsi"/>
                <w:b/>
                <w:sz w:val="22"/>
                <w:szCs w:val="22"/>
              </w:rPr>
              <w:sym w:font="Wingdings" w:char="F0A8"/>
            </w:r>
            <w:r>
              <w:rPr>
                <w:rFonts w:asciiTheme="minorHAnsi" w:hAnsiTheme="minorHAnsi" w:cstheme="minorHAnsi"/>
                <w:b/>
                <w:sz w:val="22"/>
                <w:szCs w:val="22"/>
              </w:rPr>
              <w:t xml:space="preserve"> autre :…………………………………</w:t>
            </w:r>
          </w:p>
        </w:tc>
        <w:tc>
          <w:tcPr>
            <w:tcW w:w="671" w:type="pct"/>
            <w:tcBorders>
              <w:bottom w:val="single" w:sz="4" w:space="0" w:color="auto"/>
            </w:tcBorders>
          </w:tcPr>
          <w:p>
            <w:pPr>
              <w:spacing w:before="120"/>
              <w:jc w:val="center"/>
              <w:rPr>
                <w:rFonts w:asciiTheme="minorHAnsi" w:hAnsiTheme="minorHAnsi" w:cstheme="minorHAnsi"/>
                <w:sz w:val="22"/>
                <w:szCs w:val="22"/>
              </w:rPr>
            </w:pPr>
          </w:p>
          <w:p>
            <w:pPr>
              <w:spacing w:after="80"/>
              <w:jc w:val="center"/>
              <w:rPr>
                <w:rFonts w:asciiTheme="minorHAnsi" w:hAnsiTheme="minorHAnsi" w:cstheme="minorHAnsi"/>
                <w:sz w:val="22"/>
                <w:szCs w:val="22"/>
              </w:rPr>
            </w:pPr>
          </w:p>
          <w:p>
            <w:pPr>
              <w:spacing w:after="80"/>
              <w:jc w:val="center"/>
              <w:rPr>
                <w:rFonts w:asciiTheme="minorHAnsi" w:hAnsiTheme="minorHAnsi" w:cstheme="minorHAnsi"/>
                <w:sz w:val="22"/>
                <w:szCs w:val="22"/>
              </w:rPr>
            </w:pPr>
            <w:r>
              <w:rPr>
                <w:rFonts w:asciiTheme="minorHAnsi" w:hAnsiTheme="minorHAnsi" w:cstheme="minorHAnsi"/>
                <w:sz w:val="22"/>
                <w:szCs w:val="22"/>
              </w:rPr>
              <w:t>……………€</w:t>
            </w:r>
          </w:p>
          <w:p>
            <w:pPr>
              <w:jc w:val="center"/>
              <w:rPr>
                <w:rFonts w:asciiTheme="minorHAnsi" w:hAnsiTheme="minorHAnsi" w:cstheme="minorHAnsi"/>
                <w:sz w:val="22"/>
                <w:szCs w:val="22"/>
              </w:rPr>
            </w:pPr>
          </w:p>
          <w:p>
            <w:pPr>
              <w:spacing w:after="80"/>
              <w:jc w:val="center"/>
              <w:rPr>
                <w:rFonts w:asciiTheme="minorHAnsi" w:hAnsiTheme="minorHAnsi" w:cstheme="minorHAnsi"/>
                <w:sz w:val="22"/>
                <w:szCs w:val="22"/>
              </w:rPr>
            </w:pPr>
            <w:r>
              <w:rPr>
                <w:rFonts w:asciiTheme="minorHAnsi" w:hAnsiTheme="minorHAnsi" w:cstheme="minorHAnsi"/>
                <w:sz w:val="22"/>
                <w:szCs w:val="22"/>
              </w:rPr>
              <w:t>……………€</w:t>
            </w:r>
          </w:p>
          <w:p>
            <w:pPr>
              <w:jc w:val="center"/>
              <w:rPr>
                <w:rFonts w:asciiTheme="minorHAnsi" w:hAnsiTheme="minorHAnsi" w:cstheme="minorHAnsi"/>
                <w:sz w:val="22"/>
                <w:szCs w:val="22"/>
              </w:rPr>
            </w:pPr>
          </w:p>
          <w:p>
            <w:pPr>
              <w:spacing w:after="80"/>
              <w:jc w:val="center"/>
              <w:rPr>
                <w:rFonts w:asciiTheme="minorHAnsi" w:hAnsiTheme="minorHAnsi" w:cstheme="minorHAnsi"/>
                <w:sz w:val="22"/>
                <w:szCs w:val="22"/>
              </w:rPr>
            </w:pPr>
            <w:r>
              <w:rPr>
                <w:rFonts w:asciiTheme="minorHAnsi" w:hAnsiTheme="minorHAnsi" w:cstheme="minorHAnsi"/>
                <w:sz w:val="22"/>
                <w:szCs w:val="22"/>
              </w:rPr>
              <w:t>……………€</w:t>
            </w:r>
          </w:p>
          <w:p>
            <w:pPr>
              <w:spacing w:after="80"/>
              <w:jc w:val="center"/>
              <w:rPr>
                <w:rFonts w:asciiTheme="minorHAnsi" w:hAnsiTheme="minorHAnsi" w:cstheme="minorHAnsi"/>
                <w:sz w:val="22"/>
                <w:szCs w:val="22"/>
              </w:rPr>
            </w:pPr>
            <w:r>
              <w:rPr>
                <w:rFonts w:asciiTheme="minorHAnsi" w:hAnsiTheme="minorHAnsi" w:cstheme="minorHAnsi"/>
                <w:sz w:val="22"/>
                <w:szCs w:val="22"/>
              </w:rPr>
              <w:t>……………€</w:t>
            </w:r>
          </w:p>
          <w:p>
            <w:pPr>
              <w:spacing w:after="80"/>
              <w:jc w:val="center"/>
              <w:rPr>
                <w:rFonts w:asciiTheme="minorHAnsi" w:hAnsiTheme="minorHAnsi" w:cstheme="minorHAnsi"/>
                <w:sz w:val="22"/>
                <w:szCs w:val="22"/>
              </w:rPr>
            </w:pPr>
            <w:r>
              <w:rPr>
                <w:rFonts w:asciiTheme="minorHAnsi" w:hAnsiTheme="minorHAnsi" w:cstheme="minorHAnsi"/>
                <w:sz w:val="22"/>
                <w:szCs w:val="22"/>
              </w:rPr>
              <w:t>……………€</w:t>
            </w:r>
          </w:p>
          <w:p>
            <w:pPr>
              <w:jc w:val="center"/>
              <w:rPr>
                <w:rFonts w:asciiTheme="minorHAnsi" w:hAnsiTheme="minorHAnsi" w:cstheme="minorHAnsi"/>
                <w:sz w:val="22"/>
                <w:szCs w:val="22"/>
              </w:rPr>
            </w:pPr>
            <w:r>
              <w:rPr>
                <w:rFonts w:asciiTheme="minorHAnsi" w:hAnsiTheme="minorHAnsi" w:cstheme="minorHAnsi"/>
                <w:sz w:val="22"/>
                <w:szCs w:val="22"/>
              </w:rPr>
              <w:t>……………€</w:t>
            </w:r>
          </w:p>
        </w:tc>
        <w:tc>
          <w:tcPr>
            <w:tcW w:w="672" w:type="pct"/>
            <w:shd w:val="clear" w:color="auto" w:fill="D9D9D9" w:themeFill="background1" w:themeFillShade="D9"/>
          </w:tcPr>
          <w:p>
            <w:pPr>
              <w:spacing w:before="120"/>
              <w:jc w:val="center"/>
              <w:rPr>
                <w:rFonts w:asciiTheme="minorHAnsi" w:hAnsiTheme="minorHAnsi" w:cstheme="minorHAnsi"/>
                <w:sz w:val="22"/>
                <w:szCs w:val="22"/>
              </w:rPr>
            </w:pPr>
          </w:p>
          <w:p>
            <w:pPr>
              <w:spacing w:after="80"/>
              <w:jc w:val="center"/>
              <w:rPr>
                <w:rFonts w:asciiTheme="minorHAnsi" w:hAnsiTheme="minorHAnsi" w:cstheme="minorHAnsi"/>
                <w:sz w:val="22"/>
                <w:szCs w:val="22"/>
              </w:rPr>
            </w:pPr>
          </w:p>
          <w:p>
            <w:pPr>
              <w:spacing w:after="80"/>
              <w:jc w:val="center"/>
              <w:rPr>
                <w:rFonts w:asciiTheme="minorHAnsi" w:hAnsiTheme="minorHAnsi" w:cstheme="minorHAnsi"/>
                <w:sz w:val="22"/>
                <w:szCs w:val="22"/>
              </w:rPr>
            </w:pPr>
            <w:r>
              <w:rPr>
                <w:rFonts w:asciiTheme="minorHAnsi" w:hAnsiTheme="minorHAnsi" w:cstheme="minorHAnsi"/>
                <w:sz w:val="22"/>
                <w:szCs w:val="22"/>
              </w:rPr>
              <w:t>……………€</w:t>
            </w:r>
          </w:p>
          <w:p>
            <w:pPr>
              <w:jc w:val="center"/>
              <w:rPr>
                <w:rFonts w:asciiTheme="minorHAnsi" w:hAnsiTheme="minorHAnsi" w:cstheme="minorHAnsi"/>
                <w:sz w:val="22"/>
                <w:szCs w:val="22"/>
              </w:rPr>
            </w:pPr>
          </w:p>
          <w:p>
            <w:pPr>
              <w:spacing w:after="80"/>
              <w:jc w:val="center"/>
              <w:rPr>
                <w:rFonts w:asciiTheme="minorHAnsi" w:hAnsiTheme="minorHAnsi" w:cstheme="minorHAnsi"/>
                <w:sz w:val="22"/>
                <w:szCs w:val="22"/>
              </w:rPr>
            </w:pPr>
            <w:r>
              <w:rPr>
                <w:rFonts w:asciiTheme="minorHAnsi" w:hAnsiTheme="minorHAnsi" w:cstheme="minorHAnsi"/>
                <w:sz w:val="22"/>
                <w:szCs w:val="22"/>
              </w:rPr>
              <w:t>……………€</w:t>
            </w:r>
          </w:p>
          <w:p>
            <w:pPr>
              <w:jc w:val="center"/>
              <w:rPr>
                <w:rFonts w:asciiTheme="minorHAnsi" w:hAnsiTheme="minorHAnsi" w:cstheme="minorHAnsi"/>
                <w:sz w:val="22"/>
                <w:szCs w:val="22"/>
              </w:rPr>
            </w:pPr>
          </w:p>
          <w:p>
            <w:pPr>
              <w:spacing w:after="80"/>
              <w:jc w:val="center"/>
              <w:rPr>
                <w:rFonts w:asciiTheme="minorHAnsi" w:hAnsiTheme="minorHAnsi" w:cstheme="minorHAnsi"/>
                <w:sz w:val="22"/>
                <w:szCs w:val="22"/>
              </w:rPr>
            </w:pPr>
            <w:r>
              <w:rPr>
                <w:rFonts w:asciiTheme="minorHAnsi" w:hAnsiTheme="minorHAnsi" w:cstheme="minorHAnsi"/>
                <w:sz w:val="22"/>
                <w:szCs w:val="22"/>
              </w:rPr>
              <w:t>……………€</w:t>
            </w:r>
          </w:p>
          <w:p>
            <w:pPr>
              <w:spacing w:after="80"/>
              <w:jc w:val="center"/>
              <w:rPr>
                <w:rFonts w:asciiTheme="minorHAnsi" w:hAnsiTheme="minorHAnsi" w:cstheme="minorHAnsi"/>
                <w:sz w:val="22"/>
                <w:szCs w:val="22"/>
              </w:rPr>
            </w:pPr>
            <w:r>
              <w:rPr>
                <w:rFonts w:asciiTheme="minorHAnsi" w:hAnsiTheme="minorHAnsi" w:cstheme="minorHAnsi"/>
                <w:sz w:val="22"/>
                <w:szCs w:val="22"/>
              </w:rPr>
              <w:t>……………€</w:t>
            </w:r>
          </w:p>
          <w:p>
            <w:pPr>
              <w:spacing w:after="80"/>
              <w:jc w:val="center"/>
              <w:rPr>
                <w:rFonts w:asciiTheme="minorHAnsi" w:hAnsiTheme="minorHAnsi" w:cstheme="minorHAnsi"/>
                <w:sz w:val="22"/>
                <w:szCs w:val="22"/>
              </w:rPr>
            </w:pPr>
            <w:r>
              <w:rPr>
                <w:rFonts w:asciiTheme="minorHAnsi" w:hAnsiTheme="minorHAnsi" w:cstheme="minorHAnsi"/>
                <w:sz w:val="22"/>
                <w:szCs w:val="22"/>
              </w:rPr>
              <w:t>……………€</w:t>
            </w:r>
          </w:p>
          <w:p>
            <w:pPr>
              <w:spacing w:after="80"/>
              <w:jc w:val="center"/>
              <w:rPr>
                <w:rFonts w:asciiTheme="minorHAnsi" w:hAnsiTheme="minorHAnsi" w:cstheme="minorHAnsi"/>
                <w:sz w:val="22"/>
                <w:szCs w:val="22"/>
              </w:rPr>
            </w:pPr>
            <w:r>
              <w:rPr>
                <w:rFonts w:asciiTheme="minorHAnsi" w:hAnsiTheme="minorHAnsi" w:cstheme="minorHAnsi"/>
                <w:sz w:val="22"/>
                <w:szCs w:val="22"/>
              </w:rPr>
              <w:t>……………€</w:t>
            </w:r>
          </w:p>
        </w:tc>
      </w:tr>
      <w:tr>
        <w:trPr>
          <w:trHeight w:val="693"/>
        </w:trPr>
        <w:tc>
          <w:tcPr>
            <w:tcW w:w="253" w:type="pct"/>
            <w:tcBorders>
              <w:top w:val="single" w:sz="4" w:space="0" w:color="auto"/>
              <w:left w:val="single" w:sz="4" w:space="0" w:color="auto"/>
              <w:bottom w:val="single" w:sz="4" w:space="0" w:color="auto"/>
              <w:right w:val="single" w:sz="4" w:space="0" w:color="auto"/>
            </w:tcBorders>
          </w:tcPr>
          <w:p>
            <w:pPr>
              <w:spacing w:before="120"/>
              <w:rPr>
                <w:rFonts w:asciiTheme="minorHAnsi" w:hAnsiTheme="minorHAnsi" w:cstheme="minorHAnsi"/>
                <w:szCs w:val="22"/>
              </w:rPr>
            </w:pPr>
            <w:r>
              <w:rPr>
                <w:rFonts w:asciiTheme="minorHAnsi" w:hAnsiTheme="minorHAnsi" w:cstheme="minorHAnsi"/>
                <w:szCs w:val="22"/>
              </w:rPr>
              <w:sym w:font="Wingdings" w:char="F0A8"/>
            </w:r>
          </w:p>
        </w:tc>
        <w:tc>
          <w:tcPr>
            <w:tcW w:w="271" w:type="pct"/>
            <w:tcBorders>
              <w:top w:val="single" w:sz="4" w:space="0" w:color="auto"/>
              <w:left w:val="single" w:sz="4" w:space="0" w:color="auto"/>
              <w:bottom w:val="single" w:sz="4" w:space="0" w:color="auto"/>
              <w:right w:val="single" w:sz="4" w:space="0" w:color="auto"/>
            </w:tcBorders>
          </w:tcPr>
          <w:p>
            <w:pPr>
              <w:spacing w:before="120"/>
              <w:rPr>
                <w:rFonts w:asciiTheme="minorHAnsi" w:hAnsiTheme="minorHAnsi" w:cstheme="minorHAnsi"/>
                <w:b/>
                <w:sz w:val="22"/>
                <w:szCs w:val="22"/>
              </w:rPr>
            </w:pPr>
            <w:r>
              <w:rPr>
                <w:rFonts w:asciiTheme="minorHAnsi" w:hAnsiTheme="minorHAnsi" w:cstheme="minorHAnsi"/>
                <w:b/>
                <w:sz w:val="22"/>
                <w:szCs w:val="22"/>
              </w:rPr>
              <w:t>2°</w:t>
            </w:r>
          </w:p>
        </w:tc>
        <w:tc>
          <w:tcPr>
            <w:tcW w:w="3132" w:type="pct"/>
            <w:tcBorders>
              <w:top w:val="single" w:sz="4" w:space="0" w:color="auto"/>
              <w:left w:val="single" w:sz="4" w:space="0" w:color="auto"/>
              <w:bottom w:val="single" w:sz="4" w:space="0" w:color="auto"/>
              <w:right w:val="single" w:sz="4" w:space="0" w:color="auto"/>
            </w:tcBorders>
          </w:tcPr>
          <w:p>
            <w:pPr>
              <w:spacing w:before="80" w:after="80"/>
              <w:rPr>
                <w:rFonts w:asciiTheme="minorHAnsi" w:hAnsiTheme="minorHAnsi" w:cstheme="minorHAnsi"/>
                <w:b/>
                <w:sz w:val="22"/>
                <w:szCs w:val="22"/>
              </w:rPr>
            </w:pPr>
            <w:r>
              <w:rPr>
                <w:rFonts w:asciiTheme="minorHAnsi" w:hAnsiTheme="minorHAnsi" w:cstheme="minorHAnsi"/>
                <w:b/>
                <w:sz w:val="22"/>
                <w:szCs w:val="22"/>
              </w:rPr>
              <w:t>ACS/APE, en collaboration avec les régions:</w:t>
            </w:r>
          </w:p>
          <w:p>
            <w:pPr>
              <w:spacing w:before="80" w:after="80"/>
              <w:rPr>
                <w:rFonts w:asciiTheme="minorHAnsi" w:hAnsiTheme="minorHAnsi" w:cstheme="minorHAnsi"/>
                <w:b/>
                <w:sz w:val="22"/>
                <w:szCs w:val="22"/>
              </w:rPr>
            </w:pPr>
            <w:r>
              <w:rPr>
                <w:rFonts w:asciiTheme="minorHAnsi" w:hAnsiTheme="minorHAnsi" w:cstheme="minorHAnsi"/>
                <w:b/>
                <w:sz w:val="22"/>
                <w:szCs w:val="22"/>
              </w:rPr>
              <w:sym w:font="Wingdings" w:char="F0A8"/>
            </w:r>
            <w:r>
              <w:rPr>
                <w:rFonts w:asciiTheme="minorHAnsi" w:hAnsiTheme="minorHAnsi" w:cstheme="minorHAnsi"/>
                <w:b/>
                <w:sz w:val="22"/>
                <w:szCs w:val="22"/>
              </w:rPr>
              <w:t xml:space="preserve"> enseignant</w:t>
            </w:r>
          </w:p>
          <w:p>
            <w:pPr>
              <w:spacing w:before="80" w:after="80"/>
              <w:rPr>
                <w:rFonts w:asciiTheme="minorHAnsi" w:hAnsiTheme="minorHAnsi" w:cstheme="minorHAnsi"/>
                <w:b/>
                <w:sz w:val="22"/>
                <w:szCs w:val="22"/>
              </w:rPr>
            </w:pPr>
            <w:r>
              <w:rPr>
                <w:rFonts w:asciiTheme="minorHAnsi" w:hAnsiTheme="minorHAnsi" w:cstheme="minorHAnsi"/>
                <w:b/>
                <w:sz w:val="22"/>
                <w:szCs w:val="22"/>
              </w:rPr>
              <w:sym w:font="Wingdings" w:char="F0A8"/>
            </w:r>
            <w:r>
              <w:rPr>
                <w:rFonts w:asciiTheme="minorHAnsi" w:hAnsiTheme="minorHAnsi" w:cstheme="minorHAnsi"/>
                <w:b/>
                <w:sz w:val="22"/>
                <w:szCs w:val="22"/>
              </w:rPr>
              <w:t xml:space="preserve"> éducateur</w:t>
            </w:r>
          </w:p>
          <w:p>
            <w:pPr>
              <w:spacing w:before="80" w:after="80"/>
              <w:rPr>
                <w:rFonts w:asciiTheme="minorHAnsi" w:hAnsiTheme="minorHAnsi" w:cstheme="minorHAnsi"/>
                <w:b/>
                <w:sz w:val="22"/>
                <w:szCs w:val="22"/>
              </w:rPr>
            </w:pPr>
            <w:r>
              <w:rPr>
                <w:rFonts w:asciiTheme="minorHAnsi" w:hAnsiTheme="minorHAnsi" w:cstheme="minorHAnsi"/>
                <w:b/>
                <w:sz w:val="22"/>
                <w:szCs w:val="22"/>
              </w:rPr>
              <w:sym w:font="Wingdings" w:char="F0A8"/>
            </w:r>
            <w:r>
              <w:rPr>
                <w:rFonts w:asciiTheme="minorHAnsi" w:hAnsiTheme="minorHAnsi" w:cstheme="minorHAnsi"/>
                <w:b/>
                <w:sz w:val="22"/>
                <w:szCs w:val="22"/>
              </w:rPr>
              <w:t xml:space="preserve"> assistant social</w:t>
            </w:r>
          </w:p>
          <w:p>
            <w:pPr>
              <w:spacing w:before="80" w:after="80"/>
              <w:ind w:left="315" w:hanging="315"/>
              <w:rPr>
                <w:rFonts w:asciiTheme="minorHAnsi" w:hAnsiTheme="minorHAnsi" w:cstheme="minorHAnsi"/>
                <w:b/>
                <w:sz w:val="22"/>
                <w:szCs w:val="22"/>
              </w:rPr>
            </w:pPr>
            <w:r>
              <w:rPr>
                <w:rFonts w:asciiTheme="minorHAnsi" w:hAnsiTheme="minorHAnsi" w:cstheme="minorHAnsi"/>
                <w:b/>
                <w:sz w:val="22"/>
                <w:szCs w:val="22"/>
              </w:rPr>
              <w:sym w:font="Wingdings" w:char="F0A8"/>
            </w:r>
            <w:r>
              <w:rPr>
                <w:rFonts w:asciiTheme="minorHAnsi" w:hAnsiTheme="minorHAnsi" w:cstheme="minorHAnsi"/>
                <w:b/>
                <w:sz w:val="22"/>
                <w:szCs w:val="22"/>
              </w:rPr>
              <w:t xml:space="preserve"> bibliothécaire, spécialiste des médias, de l’audio-visuel et de l’animation socio-  culturelle</w:t>
            </w:r>
          </w:p>
          <w:p>
            <w:pPr>
              <w:spacing w:before="80" w:after="80"/>
              <w:rPr>
                <w:rFonts w:asciiTheme="minorHAnsi" w:hAnsiTheme="minorHAnsi" w:cstheme="minorHAnsi"/>
                <w:b/>
                <w:sz w:val="22"/>
                <w:szCs w:val="22"/>
              </w:rPr>
            </w:pPr>
            <w:r>
              <w:rPr>
                <w:rFonts w:asciiTheme="minorHAnsi" w:hAnsiTheme="minorHAnsi" w:cstheme="minorHAnsi"/>
                <w:b/>
                <w:sz w:val="22"/>
                <w:szCs w:val="22"/>
              </w:rPr>
              <w:sym w:font="Wingdings" w:char="F0A8"/>
            </w:r>
            <w:r>
              <w:rPr>
                <w:rFonts w:asciiTheme="minorHAnsi" w:hAnsiTheme="minorHAnsi" w:cstheme="minorHAnsi"/>
                <w:b/>
                <w:sz w:val="22"/>
                <w:szCs w:val="22"/>
              </w:rPr>
              <w:t xml:space="preserve"> logopède</w:t>
            </w:r>
          </w:p>
          <w:p>
            <w:pPr>
              <w:spacing w:before="80" w:after="80"/>
              <w:rPr>
                <w:rFonts w:asciiTheme="minorHAnsi" w:hAnsiTheme="minorHAnsi" w:cstheme="minorHAnsi"/>
                <w:b/>
                <w:sz w:val="22"/>
                <w:szCs w:val="22"/>
              </w:rPr>
            </w:pPr>
            <w:r>
              <w:rPr>
                <w:rFonts w:asciiTheme="minorHAnsi" w:hAnsiTheme="minorHAnsi" w:cstheme="minorHAnsi"/>
                <w:b/>
                <w:sz w:val="22"/>
                <w:szCs w:val="22"/>
              </w:rPr>
              <w:sym w:font="Wingdings" w:char="F0A8"/>
            </w:r>
            <w:r>
              <w:rPr>
                <w:rFonts w:asciiTheme="minorHAnsi" w:hAnsiTheme="minorHAnsi" w:cstheme="minorHAnsi"/>
                <w:b/>
                <w:sz w:val="22"/>
                <w:szCs w:val="22"/>
              </w:rPr>
              <w:t xml:space="preserve"> médiateur</w:t>
            </w:r>
          </w:p>
          <w:p>
            <w:pPr>
              <w:spacing w:before="80" w:after="80"/>
              <w:rPr>
                <w:rFonts w:asciiTheme="minorHAnsi" w:hAnsiTheme="minorHAnsi" w:cstheme="minorHAnsi"/>
                <w:b/>
                <w:sz w:val="22"/>
                <w:szCs w:val="22"/>
              </w:rPr>
            </w:pPr>
            <w:r>
              <w:rPr>
                <w:rFonts w:asciiTheme="minorHAnsi" w:hAnsiTheme="minorHAnsi" w:cstheme="minorHAnsi"/>
                <w:b/>
                <w:sz w:val="22"/>
                <w:szCs w:val="22"/>
              </w:rPr>
              <w:sym w:font="Wingdings" w:char="F0A8"/>
            </w:r>
            <w:r>
              <w:rPr>
                <w:rFonts w:asciiTheme="minorHAnsi" w:hAnsiTheme="minorHAnsi" w:cstheme="minorHAnsi"/>
                <w:b/>
                <w:sz w:val="22"/>
                <w:szCs w:val="22"/>
              </w:rPr>
              <w:t xml:space="preserve"> bibliothécaire et responsable multimédias</w:t>
            </w:r>
          </w:p>
          <w:p>
            <w:pPr>
              <w:spacing w:before="80" w:after="80"/>
              <w:rPr>
                <w:rFonts w:asciiTheme="minorHAnsi" w:hAnsiTheme="minorHAnsi" w:cstheme="minorHAnsi"/>
                <w:b/>
                <w:sz w:val="22"/>
                <w:szCs w:val="22"/>
              </w:rPr>
            </w:pPr>
            <w:r>
              <w:rPr>
                <w:rFonts w:asciiTheme="minorHAnsi" w:hAnsiTheme="minorHAnsi" w:cstheme="minorHAnsi"/>
                <w:b/>
                <w:sz w:val="22"/>
                <w:szCs w:val="22"/>
              </w:rPr>
              <w:sym w:font="Wingdings" w:char="F0A8"/>
            </w:r>
            <w:r>
              <w:rPr>
                <w:rFonts w:asciiTheme="minorHAnsi" w:hAnsiTheme="minorHAnsi" w:cstheme="minorHAnsi"/>
                <w:b/>
                <w:sz w:val="22"/>
                <w:szCs w:val="22"/>
              </w:rPr>
              <w:t xml:space="preserve"> autre :………………………</w:t>
            </w:r>
          </w:p>
        </w:tc>
        <w:tc>
          <w:tcPr>
            <w:tcW w:w="671" w:type="pct"/>
            <w:tcBorders>
              <w:top w:val="single" w:sz="4" w:space="0" w:color="auto"/>
              <w:left w:val="single" w:sz="4" w:space="0" w:color="auto"/>
              <w:bottom w:val="single" w:sz="4" w:space="0" w:color="auto"/>
              <w:right w:val="single" w:sz="4" w:space="0" w:color="auto"/>
            </w:tcBorders>
          </w:tcPr>
          <w:p>
            <w:pPr>
              <w:spacing w:before="80"/>
              <w:jc w:val="center"/>
              <w:rPr>
                <w:rFonts w:asciiTheme="minorHAnsi" w:hAnsiTheme="minorHAnsi" w:cstheme="minorHAnsi"/>
                <w:sz w:val="22"/>
                <w:szCs w:val="22"/>
              </w:rPr>
            </w:pPr>
          </w:p>
          <w:p>
            <w:pPr>
              <w:spacing w:before="80"/>
              <w:jc w:val="center"/>
              <w:rPr>
                <w:rFonts w:asciiTheme="minorHAnsi" w:hAnsiTheme="minorHAnsi" w:cstheme="minorHAnsi"/>
                <w:sz w:val="22"/>
                <w:szCs w:val="22"/>
              </w:rPr>
            </w:pPr>
            <w:r>
              <w:rPr>
                <w:rFonts w:asciiTheme="minorHAnsi" w:hAnsiTheme="minorHAnsi" w:cstheme="minorHAnsi"/>
                <w:sz w:val="22"/>
                <w:szCs w:val="22"/>
              </w:rPr>
              <w:t>……………€</w:t>
            </w:r>
          </w:p>
          <w:p>
            <w:pPr>
              <w:spacing w:before="80"/>
              <w:jc w:val="center"/>
              <w:rPr>
                <w:rFonts w:asciiTheme="minorHAnsi" w:hAnsiTheme="minorHAnsi" w:cstheme="minorHAnsi"/>
                <w:sz w:val="22"/>
                <w:szCs w:val="22"/>
              </w:rPr>
            </w:pPr>
            <w:r>
              <w:rPr>
                <w:rFonts w:asciiTheme="minorHAnsi" w:hAnsiTheme="minorHAnsi" w:cstheme="minorHAnsi"/>
                <w:sz w:val="22"/>
                <w:szCs w:val="22"/>
              </w:rPr>
              <w:t>……………€</w:t>
            </w:r>
          </w:p>
          <w:p>
            <w:pPr>
              <w:spacing w:before="80"/>
              <w:jc w:val="center"/>
              <w:rPr>
                <w:rFonts w:asciiTheme="minorHAnsi" w:hAnsiTheme="minorHAnsi" w:cstheme="minorHAnsi"/>
                <w:sz w:val="22"/>
                <w:szCs w:val="22"/>
              </w:rPr>
            </w:pPr>
            <w:r>
              <w:rPr>
                <w:rFonts w:asciiTheme="minorHAnsi" w:hAnsiTheme="minorHAnsi" w:cstheme="minorHAnsi"/>
                <w:sz w:val="22"/>
                <w:szCs w:val="22"/>
              </w:rPr>
              <w:t>……………€</w:t>
            </w:r>
          </w:p>
          <w:p>
            <w:pPr>
              <w:spacing w:before="80"/>
              <w:jc w:val="center"/>
              <w:rPr>
                <w:rFonts w:asciiTheme="minorHAnsi" w:hAnsiTheme="minorHAnsi" w:cstheme="minorHAnsi"/>
                <w:sz w:val="22"/>
                <w:szCs w:val="22"/>
              </w:rPr>
            </w:pPr>
          </w:p>
          <w:p>
            <w:pPr>
              <w:jc w:val="center"/>
              <w:rPr>
                <w:rFonts w:asciiTheme="minorHAnsi" w:hAnsiTheme="minorHAnsi" w:cstheme="minorHAnsi"/>
                <w:sz w:val="22"/>
                <w:szCs w:val="22"/>
              </w:rPr>
            </w:pPr>
            <w:r>
              <w:rPr>
                <w:rFonts w:asciiTheme="minorHAnsi" w:hAnsiTheme="minorHAnsi" w:cstheme="minorHAnsi"/>
                <w:sz w:val="22"/>
                <w:szCs w:val="22"/>
              </w:rPr>
              <w:t>……………€</w:t>
            </w:r>
          </w:p>
          <w:p>
            <w:pPr>
              <w:spacing w:before="80"/>
              <w:jc w:val="center"/>
              <w:rPr>
                <w:rFonts w:asciiTheme="minorHAnsi" w:hAnsiTheme="minorHAnsi" w:cstheme="minorHAnsi"/>
                <w:sz w:val="22"/>
                <w:szCs w:val="22"/>
              </w:rPr>
            </w:pPr>
            <w:r>
              <w:rPr>
                <w:rFonts w:asciiTheme="minorHAnsi" w:hAnsiTheme="minorHAnsi" w:cstheme="minorHAnsi"/>
                <w:sz w:val="22"/>
                <w:szCs w:val="22"/>
              </w:rPr>
              <w:t>……………€</w:t>
            </w:r>
          </w:p>
          <w:p>
            <w:pPr>
              <w:spacing w:before="80"/>
              <w:jc w:val="center"/>
              <w:rPr>
                <w:rFonts w:asciiTheme="minorHAnsi" w:hAnsiTheme="minorHAnsi" w:cstheme="minorHAnsi"/>
                <w:sz w:val="22"/>
                <w:szCs w:val="22"/>
              </w:rPr>
            </w:pPr>
            <w:r>
              <w:rPr>
                <w:rFonts w:asciiTheme="minorHAnsi" w:hAnsiTheme="minorHAnsi" w:cstheme="minorHAnsi"/>
                <w:sz w:val="22"/>
                <w:szCs w:val="22"/>
              </w:rPr>
              <w:t>……………€</w:t>
            </w:r>
          </w:p>
          <w:p>
            <w:pPr>
              <w:spacing w:before="80"/>
              <w:jc w:val="center"/>
              <w:rPr>
                <w:rFonts w:asciiTheme="minorHAnsi" w:hAnsiTheme="minorHAnsi" w:cstheme="minorHAnsi"/>
                <w:sz w:val="22"/>
                <w:szCs w:val="22"/>
              </w:rPr>
            </w:pPr>
            <w:r>
              <w:rPr>
                <w:rFonts w:asciiTheme="minorHAnsi" w:hAnsiTheme="minorHAnsi" w:cstheme="minorHAnsi"/>
                <w:sz w:val="22"/>
                <w:szCs w:val="22"/>
              </w:rPr>
              <w:t>……………€</w:t>
            </w:r>
          </w:p>
          <w:p>
            <w:pPr>
              <w:spacing w:before="80"/>
              <w:jc w:val="center"/>
              <w:rPr>
                <w:rFonts w:asciiTheme="minorHAnsi" w:hAnsiTheme="minorHAnsi" w:cstheme="minorHAnsi"/>
                <w:sz w:val="22"/>
                <w:szCs w:val="22"/>
              </w:rPr>
            </w:pPr>
            <w:r>
              <w:rPr>
                <w:rFonts w:asciiTheme="minorHAnsi" w:hAnsiTheme="minorHAnsi" w:cstheme="minorHAnsi"/>
                <w:sz w:val="22"/>
                <w:szCs w:val="22"/>
              </w:rPr>
              <w:t>……………€</w:t>
            </w:r>
          </w:p>
        </w:tc>
        <w:tc>
          <w:tcPr>
            <w:tcW w:w="67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pPr>
              <w:spacing w:before="80"/>
              <w:jc w:val="center"/>
              <w:rPr>
                <w:rFonts w:asciiTheme="minorHAnsi" w:hAnsiTheme="minorHAnsi" w:cstheme="minorHAnsi"/>
                <w:sz w:val="22"/>
                <w:szCs w:val="22"/>
              </w:rPr>
            </w:pPr>
          </w:p>
          <w:p>
            <w:pPr>
              <w:spacing w:before="80"/>
              <w:jc w:val="center"/>
              <w:rPr>
                <w:rFonts w:asciiTheme="minorHAnsi" w:hAnsiTheme="minorHAnsi" w:cstheme="minorHAnsi"/>
                <w:sz w:val="22"/>
                <w:szCs w:val="22"/>
              </w:rPr>
            </w:pPr>
            <w:r>
              <w:rPr>
                <w:rFonts w:asciiTheme="minorHAnsi" w:hAnsiTheme="minorHAnsi" w:cstheme="minorHAnsi"/>
                <w:sz w:val="22"/>
                <w:szCs w:val="22"/>
              </w:rPr>
              <w:t>……………€</w:t>
            </w:r>
          </w:p>
          <w:p>
            <w:pPr>
              <w:spacing w:before="80"/>
              <w:jc w:val="center"/>
              <w:rPr>
                <w:rFonts w:asciiTheme="minorHAnsi" w:hAnsiTheme="minorHAnsi" w:cstheme="minorHAnsi"/>
                <w:sz w:val="22"/>
                <w:szCs w:val="22"/>
              </w:rPr>
            </w:pPr>
            <w:r>
              <w:rPr>
                <w:rFonts w:asciiTheme="minorHAnsi" w:hAnsiTheme="minorHAnsi" w:cstheme="minorHAnsi"/>
                <w:sz w:val="22"/>
                <w:szCs w:val="22"/>
              </w:rPr>
              <w:t>……………€</w:t>
            </w:r>
          </w:p>
          <w:p>
            <w:pPr>
              <w:spacing w:before="80"/>
              <w:jc w:val="center"/>
              <w:rPr>
                <w:rFonts w:asciiTheme="minorHAnsi" w:hAnsiTheme="minorHAnsi" w:cstheme="minorHAnsi"/>
                <w:sz w:val="22"/>
                <w:szCs w:val="22"/>
              </w:rPr>
            </w:pPr>
            <w:r>
              <w:rPr>
                <w:rFonts w:asciiTheme="minorHAnsi" w:hAnsiTheme="minorHAnsi" w:cstheme="minorHAnsi"/>
                <w:sz w:val="22"/>
                <w:szCs w:val="22"/>
              </w:rPr>
              <w:t>……………€</w:t>
            </w:r>
          </w:p>
          <w:p>
            <w:pPr>
              <w:spacing w:before="80"/>
              <w:jc w:val="center"/>
              <w:rPr>
                <w:rFonts w:asciiTheme="minorHAnsi" w:hAnsiTheme="minorHAnsi" w:cstheme="minorHAnsi"/>
                <w:sz w:val="22"/>
                <w:szCs w:val="22"/>
              </w:rPr>
            </w:pPr>
          </w:p>
          <w:p>
            <w:pPr>
              <w:jc w:val="center"/>
              <w:rPr>
                <w:rFonts w:asciiTheme="minorHAnsi" w:hAnsiTheme="minorHAnsi" w:cstheme="minorHAnsi"/>
                <w:sz w:val="22"/>
                <w:szCs w:val="22"/>
              </w:rPr>
            </w:pPr>
            <w:r>
              <w:rPr>
                <w:rFonts w:asciiTheme="minorHAnsi" w:hAnsiTheme="minorHAnsi" w:cstheme="minorHAnsi"/>
                <w:sz w:val="22"/>
                <w:szCs w:val="22"/>
              </w:rPr>
              <w:t>……………€</w:t>
            </w:r>
          </w:p>
          <w:p>
            <w:pPr>
              <w:spacing w:before="80"/>
              <w:jc w:val="center"/>
              <w:rPr>
                <w:rFonts w:asciiTheme="minorHAnsi" w:hAnsiTheme="minorHAnsi" w:cstheme="minorHAnsi"/>
                <w:sz w:val="22"/>
                <w:szCs w:val="22"/>
              </w:rPr>
            </w:pPr>
            <w:r>
              <w:rPr>
                <w:rFonts w:asciiTheme="minorHAnsi" w:hAnsiTheme="minorHAnsi" w:cstheme="minorHAnsi"/>
                <w:sz w:val="22"/>
                <w:szCs w:val="22"/>
              </w:rPr>
              <w:t>……………€</w:t>
            </w:r>
          </w:p>
          <w:p>
            <w:pPr>
              <w:spacing w:before="80"/>
              <w:jc w:val="center"/>
              <w:rPr>
                <w:rFonts w:asciiTheme="minorHAnsi" w:hAnsiTheme="minorHAnsi" w:cstheme="minorHAnsi"/>
                <w:sz w:val="22"/>
                <w:szCs w:val="22"/>
              </w:rPr>
            </w:pPr>
            <w:r>
              <w:rPr>
                <w:rFonts w:asciiTheme="minorHAnsi" w:hAnsiTheme="minorHAnsi" w:cstheme="minorHAnsi"/>
                <w:sz w:val="22"/>
                <w:szCs w:val="22"/>
              </w:rPr>
              <w:t>……………€</w:t>
            </w:r>
          </w:p>
          <w:p>
            <w:pPr>
              <w:spacing w:before="80"/>
              <w:jc w:val="center"/>
              <w:rPr>
                <w:rFonts w:asciiTheme="minorHAnsi" w:hAnsiTheme="minorHAnsi" w:cstheme="minorHAnsi"/>
                <w:sz w:val="22"/>
                <w:szCs w:val="22"/>
              </w:rPr>
            </w:pPr>
            <w:r>
              <w:rPr>
                <w:rFonts w:asciiTheme="minorHAnsi" w:hAnsiTheme="minorHAnsi" w:cstheme="minorHAnsi"/>
                <w:sz w:val="22"/>
                <w:szCs w:val="22"/>
              </w:rPr>
              <w:t>……………€</w:t>
            </w:r>
          </w:p>
          <w:p>
            <w:pPr>
              <w:spacing w:before="80"/>
              <w:jc w:val="center"/>
              <w:rPr>
                <w:rFonts w:asciiTheme="minorHAnsi" w:hAnsiTheme="minorHAnsi" w:cstheme="minorHAnsi"/>
                <w:sz w:val="22"/>
                <w:szCs w:val="22"/>
              </w:rPr>
            </w:pPr>
            <w:r>
              <w:rPr>
                <w:rFonts w:asciiTheme="minorHAnsi" w:hAnsiTheme="minorHAnsi" w:cstheme="minorHAnsi"/>
                <w:sz w:val="22"/>
                <w:szCs w:val="22"/>
              </w:rPr>
              <w:t>……………€</w:t>
            </w:r>
          </w:p>
        </w:tc>
      </w:tr>
      <w:tr>
        <w:trPr>
          <w:trHeight w:val="835"/>
        </w:trPr>
        <w:tc>
          <w:tcPr>
            <w:tcW w:w="253" w:type="pct"/>
            <w:tcBorders>
              <w:top w:val="single" w:sz="4" w:space="0" w:color="auto"/>
              <w:left w:val="single" w:sz="4" w:space="0" w:color="auto"/>
              <w:bottom w:val="single" w:sz="4" w:space="0" w:color="auto"/>
              <w:right w:val="single" w:sz="4" w:space="0" w:color="auto"/>
            </w:tcBorders>
          </w:tcPr>
          <w:p>
            <w:pPr>
              <w:spacing w:before="120"/>
              <w:rPr>
                <w:rFonts w:asciiTheme="minorHAnsi" w:hAnsiTheme="minorHAnsi" w:cstheme="minorHAnsi"/>
                <w:szCs w:val="22"/>
              </w:rPr>
            </w:pPr>
            <w:r>
              <w:rPr>
                <w:rFonts w:asciiTheme="minorHAnsi" w:hAnsiTheme="minorHAnsi" w:cstheme="minorHAnsi"/>
                <w:szCs w:val="22"/>
              </w:rPr>
              <w:sym w:font="Wingdings" w:char="F0A8"/>
            </w:r>
          </w:p>
        </w:tc>
        <w:tc>
          <w:tcPr>
            <w:tcW w:w="271" w:type="pct"/>
            <w:tcBorders>
              <w:top w:val="single" w:sz="4" w:space="0" w:color="auto"/>
              <w:left w:val="single" w:sz="4" w:space="0" w:color="auto"/>
              <w:bottom w:val="single" w:sz="4" w:space="0" w:color="auto"/>
              <w:right w:val="single" w:sz="4" w:space="0" w:color="auto"/>
            </w:tcBorders>
          </w:tcPr>
          <w:p>
            <w:pPr>
              <w:spacing w:before="120"/>
              <w:rPr>
                <w:rFonts w:asciiTheme="minorHAnsi" w:hAnsiTheme="minorHAnsi" w:cstheme="minorHAnsi"/>
                <w:b/>
                <w:sz w:val="22"/>
                <w:szCs w:val="22"/>
              </w:rPr>
            </w:pPr>
            <w:r>
              <w:rPr>
                <w:rFonts w:asciiTheme="minorHAnsi" w:hAnsiTheme="minorHAnsi" w:cstheme="minorHAnsi"/>
                <w:b/>
                <w:sz w:val="22"/>
                <w:szCs w:val="22"/>
              </w:rPr>
              <w:t>3°</w:t>
            </w:r>
          </w:p>
        </w:tc>
        <w:tc>
          <w:tcPr>
            <w:tcW w:w="3132" w:type="pct"/>
            <w:tcBorders>
              <w:top w:val="single" w:sz="4" w:space="0" w:color="auto"/>
              <w:left w:val="single" w:sz="4" w:space="0" w:color="auto"/>
              <w:bottom w:val="single" w:sz="4" w:space="0" w:color="auto"/>
              <w:right w:val="single" w:sz="4" w:space="0" w:color="auto"/>
            </w:tcBorders>
          </w:tcPr>
          <w:p>
            <w:pPr>
              <w:spacing w:before="80" w:after="80"/>
              <w:rPr>
                <w:rFonts w:asciiTheme="minorHAnsi" w:hAnsiTheme="minorHAnsi" w:cstheme="minorHAnsi"/>
                <w:sz w:val="22"/>
                <w:szCs w:val="22"/>
              </w:rPr>
            </w:pPr>
            <w:r>
              <w:rPr>
                <w:rFonts w:asciiTheme="minorHAnsi" w:hAnsiTheme="minorHAnsi" w:cstheme="minorHAnsi"/>
                <w:sz w:val="22"/>
                <w:szCs w:val="22"/>
              </w:rPr>
              <w:t>PTP, en collaboration avec les régions:</w:t>
            </w:r>
          </w:p>
          <w:p>
            <w:pPr>
              <w:spacing w:before="80" w:after="80"/>
              <w:rPr>
                <w:rFonts w:asciiTheme="minorHAnsi" w:hAnsiTheme="minorHAnsi" w:cstheme="minorHAnsi"/>
                <w:sz w:val="22"/>
                <w:szCs w:val="22"/>
              </w:rPr>
            </w:pPr>
            <w:r>
              <w:rPr>
                <w:rFonts w:asciiTheme="minorHAnsi" w:hAnsiTheme="minorHAnsi" w:cstheme="minorHAnsi"/>
                <w:sz w:val="22"/>
                <w:szCs w:val="22"/>
              </w:rPr>
              <w:sym w:font="Wingdings" w:char="F0A8"/>
            </w:r>
            <w:r>
              <w:rPr>
                <w:rFonts w:asciiTheme="minorHAnsi" w:hAnsiTheme="minorHAnsi" w:cstheme="minorHAnsi"/>
                <w:sz w:val="22"/>
                <w:szCs w:val="22"/>
              </w:rPr>
              <w:t xml:space="preserve"> chargé de travaux d’embellissement, d’aménagement, de réhabilitation légère</w:t>
            </w:r>
          </w:p>
          <w:p>
            <w:pPr>
              <w:spacing w:before="80" w:after="80"/>
              <w:rPr>
                <w:rFonts w:asciiTheme="minorHAnsi" w:hAnsiTheme="minorHAnsi" w:cstheme="minorHAnsi"/>
                <w:sz w:val="22"/>
                <w:szCs w:val="22"/>
              </w:rPr>
            </w:pPr>
            <w:r>
              <w:rPr>
                <w:rFonts w:asciiTheme="minorHAnsi" w:hAnsiTheme="minorHAnsi" w:cstheme="minorHAnsi"/>
                <w:sz w:val="22"/>
                <w:szCs w:val="22"/>
              </w:rPr>
              <w:sym w:font="Wingdings" w:char="F0A8"/>
            </w:r>
            <w:r>
              <w:rPr>
                <w:rFonts w:asciiTheme="minorHAnsi" w:hAnsiTheme="minorHAnsi" w:cstheme="minorHAnsi"/>
                <w:sz w:val="22"/>
                <w:szCs w:val="22"/>
              </w:rPr>
              <w:t xml:space="preserve"> </w:t>
            </w:r>
            <w:r>
              <w:rPr>
                <w:rFonts w:asciiTheme="minorHAnsi" w:hAnsiTheme="minorHAnsi" w:cstheme="minorHAnsi"/>
                <w:b/>
                <w:sz w:val="22"/>
                <w:szCs w:val="22"/>
              </w:rPr>
              <w:t>chargé d’apporter un soutien à l’équipe éducative</w:t>
            </w:r>
          </w:p>
          <w:p>
            <w:pPr>
              <w:spacing w:before="80" w:after="80"/>
              <w:rPr>
                <w:rFonts w:asciiTheme="minorHAnsi" w:hAnsiTheme="minorHAnsi" w:cstheme="minorHAnsi"/>
                <w:b/>
                <w:sz w:val="22"/>
                <w:szCs w:val="22"/>
              </w:rPr>
            </w:pPr>
            <w:r>
              <w:rPr>
                <w:rFonts w:asciiTheme="minorHAnsi" w:hAnsiTheme="minorHAnsi" w:cstheme="minorHAnsi"/>
                <w:sz w:val="22"/>
                <w:szCs w:val="22"/>
              </w:rPr>
              <w:sym w:font="Wingdings" w:char="F0A8"/>
            </w:r>
            <w:r>
              <w:rPr>
                <w:rFonts w:asciiTheme="minorHAnsi" w:hAnsiTheme="minorHAnsi" w:cstheme="minorHAnsi"/>
                <w:sz w:val="22"/>
                <w:szCs w:val="22"/>
              </w:rPr>
              <w:t xml:space="preserve"> autre :………………………</w:t>
            </w:r>
          </w:p>
        </w:tc>
        <w:tc>
          <w:tcPr>
            <w:tcW w:w="671" w:type="pct"/>
            <w:tcBorders>
              <w:top w:val="single" w:sz="4" w:space="0" w:color="auto"/>
              <w:left w:val="single" w:sz="4" w:space="0" w:color="auto"/>
              <w:bottom w:val="single" w:sz="4" w:space="0" w:color="auto"/>
              <w:right w:val="single" w:sz="4" w:space="0" w:color="auto"/>
            </w:tcBorders>
          </w:tcPr>
          <w:p>
            <w:pPr>
              <w:spacing w:before="80"/>
              <w:jc w:val="center"/>
              <w:rPr>
                <w:rFonts w:asciiTheme="minorHAnsi" w:hAnsiTheme="minorHAnsi" w:cstheme="minorHAnsi"/>
                <w:sz w:val="22"/>
                <w:szCs w:val="22"/>
              </w:rPr>
            </w:pPr>
          </w:p>
          <w:p>
            <w:pPr>
              <w:spacing w:before="80"/>
              <w:jc w:val="center"/>
              <w:rPr>
                <w:rFonts w:asciiTheme="minorHAnsi" w:hAnsiTheme="minorHAnsi" w:cstheme="minorHAnsi"/>
                <w:sz w:val="22"/>
                <w:szCs w:val="22"/>
              </w:rPr>
            </w:pPr>
          </w:p>
          <w:p>
            <w:pPr>
              <w:jc w:val="center"/>
              <w:rPr>
                <w:rFonts w:asciiTheme="minorHAnsi" w:hAnsiTheme="minorHAnsi" w:cstheme="minorHAnsi"/>
                <w:sz w:val="22"/>
                <w:szCs w:val="22"/>
              </w:rPr>
            </w:pPr>
            <w:r>
              <w:rPr>
                <w:rFonts w:asciiTheme="minorHAnsi" w:hAnsiTheme="minorHAnsi" w:cstheme="minorHAnsi"/>
                <w:sz w:val="22"/>
                <w:szCs w:val="22"/>
              </w:rPr>
              <w:t>……………€</w:t>
            </w:r>
          </w:p>
          <w:p>
            <w:pPr>
              <w:spacing w:before="80"/>
              <w:jc w:val="center"/>
              <w:rPr>
                <w:rFonts w:asciiTheme="minorHAnsi" w:hAnsiTheme="minorHAnsi" w:cstheme="minorHAnsi"/>
                <w:sz w:val="22"/>
                <w:szCs w:val="22"/>
              </w:rPr>
            </w:pPr>
            <w:r>
              <w:rPr>
                <w:rFonts w:asciiTheme="minorHAnsi" w:hAnsiTheme="minorHAnsi" w:cstheme="minorHAnsi"/>
                <w:sz w:val="22"/>
                <w:szCs w:val="22"/>
              </w:rPr>
              <w:t>……………€</w:t>
            </w:r>
          </w:p>
          <w:p>
            <w:pPr>
              <w:spacing w:before="80"/>
              <w:jc w:val="center"/>
              <w:rPr>
                <w:rFonts w:asciiTheme="minorHAnsi" w:hAnsiTheme="minorHAnsi" w:cstheme="minorHAnsi"/>
                <w:sz w:val="22"/>
                <w:szCs w:val="22"/>
              </w:rPr>
            </w:pPr>
            <w:r>
              <w:rPr>
                <w:rFonts w:asciiTheme="minorHAnsi" w:hAnsiTheme="minorHAnsi" w:cstheme="minorHAnsi"/>
                <w:sz w:val="22"/>
                <w:szCs w:val="22"/>
              </w:rPr>
              <w:t>……………€</w:t>
            </w:r>
          </w:p>
        </w:tc>
        <w:tc>
          <w:tcPr>
            <w:tcW w:w="67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pPr>
              <w:spacing w:before="80"/>
              <w:jc w:val="center"/>
              <w:rPr>
                <w:rFonts w:asciiTheme="minorHAnsi" w:hAnsiTheme="minorHAnsi" w:cstheme="minorHAnsi"/>
                <w:sz w:val="22"/>
                <w:szCs w:val="22"/>
              </w:rPr>
            </w:pPr>
          </w:p>
          <w:p>
            <w:pPr>
              <w:spacing w:before="80"/>
              <w:jc w:val="center"/>
              <w:rPr>
                <w:rFonts w:asciiTheme="minorHAnsi" w:hAnsiTheme="minorHAnsi" w:cstheme="minorHAnsi"/>
                <w:sz w:val="22"/>
                <w:szCs w:val="22"/>
              </w:rPr>
            </w:pPr>
          </w:p>
          <w:p>
            <w:pPr>
              <w:jc w:val="center"/>
              <w:rPr>
                <w:rFonts w:asciiTheme="minorHAnsi" w:hAnsiTheme="minorHAnsi" w:cstheme="minorHAnsi"/>
                <w:sz w:val="22"/>
                <w:szCs w:val="22"/>
              </w:rPr>
            </w:pPr>
            <w:r>
              <w:rPr>
                <w:rFonts w:asciiTheme="minorHAnsi" w:hAnsiTheme="minorHAnsi" w:cstheme="minorHAnsi"/>
                <w:sz w:val="22"/>
                <w:szCs w:val="22"/>
              </w:rPr>
              <w:t>……………€</w:t>
            </w:r>
          </w:p>
          <w:p>
            <w:pPr>
              <w:spacing w:before="80"/>
              <w:jc w:val="center"/>
              <w:rPr>
                <w:rFonts w:asciiTheme="minorHAnsi" w:hAnsiTheme="minorHAnsi" w:cstheme="minorHAnsi"/>
                <w:sz w:val="22"/>
                <w:szCs w:val="22"/>
              </w:rPr>
            </w:pPr>
            <w:r>
              <w:rPr>
                <w:rFonts w:asciiTheme="minorHAnsi" w:hAnsiTheme="minorHAnsi" w:cstheme="minorHAnsi"/>
                <w:sz w:val="22"/>
                <w:szCs w:val="22"/>
              </w:rPr>
              <w:t>……………€</w:t>
            </w:r>
          </w:p>
          <w:p>
            <w:pPr>
              <w:spacing w:before="80"/>
              <w:jc w:val="center"/>
              <w:rPr>
                <w:rFonts w:asciiTheme="minorHAnsi" w:hAnsiTheme="minorHAnsi" w:cstheme="minorHAnsi"/>
                <w:sz w:val="22"/>
                <w:szCs w:val="22"/>
              </w:rPr>
            </w:pPr>
            <w:r>
              <w:rPr>
                <w:rFonts w:asciiTheme="minorHAnsi" w:hAnsiTheme="minorHAnsi" w:cstheme="minorHAnsi"/>
                <w:sz w:val="22"/>
                <w:szCs w:val="22"/>
              </w:rPr>
              <w:t>……………€</w:t>
            </w:r>
          </w:p>
        </w:tc>
      </w:tr>
      <w:tr>
        <w:trPr>
          <w:trHeight w:val="642"/>
        </w:trPr>
        <w:tc>
          <w:tcPr>
            <w:tcW w:w="253" w:type="pct"/>
            <w:tcBorders>
              <w:top w:val="single" w:sz="4" w:space="0" w:color="auto"/>
              <w:left w:val="single" w:sz="4" w:space="0" w:color="auto"/>
              <w:bottom w:val="single" w:sz="4" w:space="0" w:color="auto"/>
              <w:right w:val="single" w:sz="4" w:space="0" w:color="auto"/>
            </w:tcBorders>
          </w:tcPr>
          <w:p>
            <w:pPr>
              <w:spacing w:before="120"/>
              <w:rPr>
                <w:rFonts w:asciiTheme="minorHAnsi" w:hAnsiTheme="minorHAnsi" w:cstheme="minorHAnsi"/>
                <w:szCs w:val="22"/>
              </w:rPr>
            </w:pPr>
            <w:r>
              <w:rPr>
                <w:rFonts w:asciiTheme="minorHAnsi" w:hAnsiTheme="minorHAnsi" w:cstheme="minorHAnsi"/>
                <w:szCs w:val="22"/>
              </w:rPr>
              <w:sym w:font="Wingdings" w:char="F0A8"/>
            </w:r>
          </w:p>
        </w:tc>
        <w:tc>
          <w:tcPr>
            <w:tcW w:w="271" w:type="pct"/>
            <w:tcBorders>
              <w:top w:val="single" w:sz="4" w:space="0" w:color="auto"/>
              <w:left w:val="single" w:sz="4" w:space="0" w:color="auto"/>
              <w:bottom w:val="single" w:sz="4" w:space="0" w:color="auto"/>
              <w:right w:val="single" w:sz="4" w:space="0" w:color="auto"/>
            </w:tcBorders>
          </w:tcPr>
          <w:p>
            <w:pPr>
              <w:spacing w:before="120"/>
              <w:rPr>
                <w:rFonts w:asciiTheme="minorHAnsi" w:hAnsiTheme="minorHAnsi" w:cstheme="minorHAnsi"/>
                <w:b/>
                <w:sz w:val="22"/>
                <w:szCs w:val="22"/>
              </w:rPr>
            </w:pPr>
            <w:r>
              <w:rPr>
                <w:rFonts w:asciiTheme="minorHAnsi" w:hAnsiTheme="minorHAnsi" w:cstheme="minorHAnsi"/>
                <w:b/>
                <w:sz w:val="22"/>
                <w:szCs w:val="22"/>
              </w:rPr>
              <w:t>4°</w:t>
            </w:r>
          </w:p>
        </w:tc>
        <w:tc>
          <w:tcPr>
            <w:tcW w:w="3132" w:type="pct"/>
            <w:tcBorders>
              <w:top w:val="single" w:sz="4" w:space="0" w:color="auto"/>
              <w:left w:val="single" w:sz="4" w:space="0" w:color="auto"/>
              <w:bottom w:val="single" w:sz="4" w:space="0" w:color="auto"/>
              <w:right w:val="single" w:sz="4" w:space="0" w:color="auto"/>
            </w:tcBorders>
          </w:tcPr>
          <w:p>
            <w:pPr>
              <w:spacing w:before="120" w:after="80"/>
              <w:rPr>
                <w:rFonts w:asciiTheme="minorHAnsi" w:hAnsiTheme="minorHAnsi" w:cstheme="minorHAnsi"/>
                <w:b/>
                <w:sz w:val="22"/>
                <w:szCs w:val="22"/>
              </w:rPr>
            </w:pPr>
            <w:r>
              <w:rPr>
                <w:rFonts w:asciiTheme="minorHAnsi" w:hAnsiTheme="minorHAnsi" w:cstheme="minorHAnsi"/>
                <w:b/>
                <w:sz w:val="22"/>
                <w:szCs w:val="22"/>
              </w:rPr>
              <w:t>Remplacement des enseignants en formation (ex : organisation d’activités à caractère socioculturel)</w:t>
            </w:r>
          </w:p>
        </w:tc>
        <w:tc>
          <w:tcPr>
            <w:tcW w:w="671" w:type="pct"/>
            <w:tcBorders>
              <w:top w:val="single" w:sz="4" w:space="0" w:color="auto"/>
              <w:left w:val="single" w:sz="4" w:space="0" w:color="auto"/>
              <w:bottom w:val="single" w:sz="4" w:space="0" w:color="auto"/>
              <w:right w:val="single" w:sz="4" w:space="0" w:color="auto"/>
            </w:tcBorders>
            <w:vAlign w:val="bottom"/>
          </w:tcPr>
          <w:p>
            <w:pPr>
              <w:spacing w:before="120"/>
              <w:jc w:val="center"/>
              <w:rPr>
                <w:rFonts w:asciiTheme="minorHAnsi" w:hAnsiTheme="minorHAnsi" w:cstheme="minorHAnsi"/>
                <w:sz w:val="22"/>
                <w:szCs w:val="22"/>
              </w:rPr>
            </w:pPr>
            <w:r>
              <w:rPr>
                <w:rFonts w:asciiTheme="minorHAnsi" w:hAnsiTheme="minorHAnsi" w:cstheme="minorHAnsi"/>
                <w:sz w:val="22"/>
                <w:szCs w:val="22"/>
              </w:rPr>
              <w:t>……………€</w:t>
            </w:r>
          </w:p>
        </w:tc>
        <w:tc>
          <w:tcPr>
            <w:tcW w:w="6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pPr>
              <w:spacing w:before="120"/>
              <w:jc w:val="center"/>
              <w:rPr>
                <w:rFonts w:asciiTheme="minorHAnsi" w:hAnsiTheme="minorHAnsi" w:cstheme="minorHAnsi"/>
                <w:sz w:val="22"/>
                <w:szCs w:val="22"/>
              </w:rPr>
            </w:pPr>
            <w:r>
              <w:rPr>
                <w:rFonts w:asciiTheme="minorHAnsi" w:hAnsiTheme="minorHAnsi" w:cstheme="minorHAnsi"/>
                <w:sz w:val="22"/>
                <w:szCs w:val="22"/>
              </w:rPr>
              <w:t>……………€</w:t>
            </w:r>
          </w:p>
        </w:tc>
      </w:tr>
      <w:tr>
        <w:trPr>
          <w:trHeight w:val="753"/>
        </w:trPr>
        <w:tc>
          <w:tcPr>
            <w:tcW w:w="253" w:type="pct"/>
            <w:tcBorders>
              <w:top w:val="single" w:sz="4" w:space="0" w:color="auto"/>
              <w:left w:val="single" w:sz="4" w:space="0" w:color="auto"/>
              <w:bottom w:val="single" w:sz="4" w:space="0" w:color="auto"/>
              <w:right w:val="single" w:sz="4" w:space="0" w:color="auto"/>
            </w:tcBorders>
          </w:tcPr>
          <w:p>
            <w:pPr>
              <w:spacing w:before="120"/>
              <w:rPr>
                <w:rFonts w:asciiTheme="minorHAnsi" w:hAnsiTheme="minorHAnsi" w:cstheme="minorHAnsi"/>
                <w:szCs w:val="22"/>
              </w:rPr>
            </w:pPr>
            <w:r>
              <w:rPr>
                <w:rFonts w:asciiTheme="minorHAnsi" w:hAnsiTheme="minorHAnsi" w:cstheme="minorHAnsi"/>
                <w:szCs w:val="22"/>
              </w:rPr>
              <w:sym w:font="Wingdings" w:char="F0A8"/>
            </w:r>
          </w:p>
        </w:tc>
        <w:tc>
          <w:tcPr>
            <w:tcW w:w="271" w:type="pct"/>
            <w:tcBorders>
              <w:top w:val="single" w:sz="4" w:space="0" w:color="auto"/>
              <w:left w:val="single" w:sz="4" w:space="0" w:color="auto"/>
              <w:bottom w:val="single" w:sz="4" w:space="0" w:color="auto"/>
              <w:right w:val="single" w:sz="4" w:space="0" w:color="auto"/>
            </w:tcBorders>
          </w:tcPr>
          <w:p>
            <w:pPr>
              <w:spacing w:before="120"/>
              <w:rPr>
                <w:rFonts w:asciiTheme="minorHAnsi" w:hAnsiTheme="minorHAnsi" w:cstheme="minorHAnsi"/>
                <w:sz w:val="22"/>
                <w:szCs w:val="22"/>
              </w:rPr>
            </w:pPr>
            <w:r>
              <w:rPr>
                <w:rFonts w:asciiTheme="minorHAnsi" w:hAnsiTheme="minorHAnsi" w:cstheme="minorHAnsi"/>
                <w:sz w:val="22"/>
                <w:szCs w:val="22"/>
              </w:rPr>
              <w:t>5°</w:t>
            </w:r>
          </w:p>
        </w:tc>
        <w:tc>
          <w:tcPr>
            <w:tcW w:w="3132" w:type="pct"/>
            <w:tcBorders>
              <w:top w:val="single" w:sz="4" w:space="0" w:color="auto"/>
              <w:left w:val="single" w:sz="4" w:space="0" w:color="auto"/>
              <w:bottom w:val="single" w:sz="4" w:space="0" w:color="auto"/>
              <w:right w:val="single" w:sz="4" w:space="0" w:color="auto"/>
            </w:tcBorders>
          </w:tcPr>
          <w:p>
            <w:pPr>
              <w:spacing w:before="120" w:after="80"/>
              <w:rPr>
                <w:rFonts w:asciiTheme="minorHAnsi" w:hAnsiTheme="minorHAnsi" w:cstheme="minorHAnsi"/>
                <w:sz w:val="22"/>
                <w:szCs w:val="22"/>
              </w:rPr>
            </w:pPr>
            <w:r>
              <w:rPr>
                <w:rFonts w:asciiTheme="minorHAnsi" w:hAnsiTheme="minorHAnsi" w:cstheme="minorHAnsi"/>
                <w:sz w:val="22"/>
                <w:szCs w:val="22"/>
              </w:rPr>
              <w:t>Organisation de formations et séminaires pour les membres de l’équipe éducative</w:t>
            </w:r>
          </w:p>
        </w:tc>
        <w:tc>
          <w:tcPr>
            <w:tcW w:w="671" w:type="pct"/>
            <w:tcBorders>
              <w:top w:val="single" w:sz="4" w:space="0" w:color="auto"/>
              <w:left w:val="single" w:sz="4" w:space="0" w:color="auto"/>
              <w:bottom w:val="single" w:sz="4" w:space="0" w:color="auto"/>
              <w:right w:val="single" w:sz="4" w:space="0" w:color="auto"/>
            </w:tcBorders>
            <w:vAlign w:val="bottom"/>
          </w:tcPr>
          <w:p>
            <w:pPr>
              <w:spacing w:before="120"/>
              <w:jc w:val="center"/>
              <w:rPr>
                <w:rFonts w:asciiTheme="minorHAnsi" w:hAnsiTheme="minorHAnsi" w:cstheme="minorHAnsi"/>
                <w:sz w:val="22"/>
                <w:szCs w:val="22"/>
              </w:rPr>
            </w:pPr>
            <w:r>
              <w:rPr>
                <w:rFonts w:asciiTheme="minorHAnsi" w:hAnsiTheme="minorHAnsi" w:cstheme="minorHAnsi"/>
                <w:sz w:val="22"/>
                <w:szCs w:val="22"/>
              </w:rPr>
              <w:t>……………€</w:t>
            </w:r>
          </w:p>
        </w:tc>
        <w:tc>
          <w:tcPr>
            <w:tcW w:w="6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pPr>
              <w:spacing w:before="120"/>
              <w:jc w:val="center"/>
              <w:rPr>
                <w:rFonts w:asciiTheme="minorHAnsi" w:hAnsiTheme="minorHAnsi" w:cstheme="minorHAnsi"/>
                <w:sz w:val="22"/>
                <w:szCs w:val="22"/>
              </w:rPr>
            </w:pPr>
            <w:r>
              <w:rPr>
                <w:rFonts w:asciiTheme="minorHAnsi" w:hAnsiTheme="minorHAnsi" w:cstheme="minorHAnsi"/>
                <w:sz w:val="22"/>
                <w:szCs w:val="22"/>
              </w:rPr>
              <w:t>……………€</w:t>
            </w:r>
          </w:p>
        </w:tc>
      </w:tr>
      <w:tr>
        <w:trPr>
          <w:trHeight w:val="706"/>
        </w:trPr>
        <w:tc>
          <w:tcPr>
            <w:tcW w:w="253" w:type="pct"/>
            <w:tcBorders>
              <w:top w:val="single" w:sz="4" w:space="0" w:color="auto"/>
              <w:left w:val="single" w:sz="4" w:space="0" w:color="auto"/>
              <w:bottom w:val="single" w:sz="4" w:space="0" w:color="auto"/>
              <w:right w:val="single" w:sz="4" w:space="0" w:color="auto"/>
            </w:tcBorders>
          </w:tcPr>
          <w:p>
            <w:pPr>
              <w:spacing w:before="120"/>
              <w:rPr>
                <w:rFonts w:asciiTheme="minorHAnsi" w:hAnsiTheme="minorHAnsi" w:cstheme="minorHAnsi"/>
                <w:szCs w:val="22"/>
              </w:rPr>
            </w:pPr>
            <w:r>
              <w:rPr>
                <w:rFonts w:asciiTheme="minorHAnsi" w:hAnsiTheme="minorHAnsi" w:cstheme="minorHAnsi"/>
                <w:szCs w:val="22"/>
              </w:rPr>
              <w:sym w:font="Wingdings" w:char="F0A8"/>
            </w:r>
          </w:p>
        </w:tc>
        <w:tc>
          <w:tcPr>
            <w:tcW w:w="271" w:type="pct"/>
            <w:tcBorders>
              <w:top w:val="single" w:sz="4" w:space="0" w:color="auto"/>
              <w:left w:val="single" w:sz="4" w:space="0" w:color="auto"/>
              <w:bottom w:val="single" w:sz="4" w:space="0" w:color="auto"/>
              <w:right w:val="single" w:sz="4" w:space="0" w:color="auto"/>
            </w:tcBorders>
          </w:tcPr>
          <w:p>
            <w:pPr>
              <w:spacing w:before="120"/>
              <w:rPr>
                <w:rFonts w:asciiTheme="minorHAnsi" w:hAnsiTheme="minorHAnsi" w:cstheme="minorHAnsi"/>
                <w:sz w:val="22"/>
                <w:szCs w:val="22"/>
              </w:rPr>
            </w:pPr>
            <w:r>
              <w:rPr>
                <w:rFonts w:asciiTheme="minorHAnsi" w:hAnsiTheme="minorHAnsi" w:cstheme="minorHAnsi"/>
                <w:sz w:val="22"/>
                <w:szCs w:val="22"/>
              </w:rPr>
              <w:t>6°</w:t>
            </w:r>
          </w:p>
        </w:tc>
        <w:tc>
          <w:tcPr>
            <w:tcW w:w="3132" w:type="pct"/>
            <w:tcBorders>
              <w:top w:val="single" w:sz="4" w:space="0" w:color="auto"/>
              <w:left w:val="single" w:sz="4" w:space="0" w:color="auto"/>
              <w:bottom w:val="single" w:sz="4" w:space="0" w:color="auto"/>
              <w:right w:val="single" w:sz="4" w:space="0" w:color="auto"/>
            </w:tcBorders>
          </w:tcPr>
          <w:p>
            <w:pPr>
              <w:spacing w:before="120" w:after="80"/>
              <w:rPr>
                <w:rFonts w:asciiTheme="minorHAnsi" w:hAnsiTheme="minorHAnsi" w:cstheme="minorHAnsi"/>
                <w:sz w:val="22"/>
                <w:szCs w:val="22"/>
              </w:rPr>
            </w:pPr>
            <w:r>
              <w:rPr>
                <w:rFonts w:asciiTheme="minorHAnsi" w:hAnsiTheme="minorHAnsi" w:cstheme="minorHAnsi"/>
                <w:sz w:val="22"/>
                <w:szCs w:val="22"/>
              </w:rPr>
              <w:t>Actions en commun avec les Services du Secteur de l’Aide à la Jeunesse</w:t>
            </w:r>
          </w:p>
        </w:tc>
        <w:tc>
          <w:tcPr>
            <w:tcW w:w="671" w:type="pct"/>
            <w:tcBorders>
              <w:top w:val="single" w:sz="4" w:space="0" w:color="auto"/>
              <w:left w:val="single" w:sz="4" w:space="0" w:color="auto"/>
              <w:bottom w:val="single" w:sz="4" w:space="0" w:color="auto"/>
              <w:right w:val="single" w:sz="4" w:space="0" w:color="auto"/>
            </w:tcBorders>
            <w:vAlign w:val="bottom"/>
          </w:tcPr>
          <w:p>
            <w:pPr>
              <w:spacing w:before="120"/>
              <w:jc w:val="center"/>
              <w:rPr>
                <w:rFonts w:asciiTheme="minorHAnsi" w:hAnsiTheme="minorHAnsi" w:cstheme="minorHAnsi"/>
                <w:sz w:val="22"/>
                <w:szCs w:val="22"/>
              </w:rPr>
            </w:pPr>
            <w:r>
              <w:rPr>
                <w:rFonts w:asciiTheme="minorHAnsi" w:hAnsiTheme="minorHAnsi" w:cstheme="minorHAnsi"/>
                <w:sz w:val="22"/>
                <w:szCs w:val="22"/>
              </w:rPr>
              <w:t>……………€</w:t>
            </w:r>
          </w:p>
        </w:tc>
        <w:tc>
          <w:tcPr>
            <w:tcW w:w="6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pPr>
              <w:spacing w:before="120"/>
              <w:jc w:val="center"/>
              <w:rPr>
                <w:rFonts w:asciiTheme="minorHAnsi" w:hAnsiTheme="minorHAnsi" w:cstheme="minorHAnsi"/>
                <w:sz w:val="22"/>
                <w:szCs w:val="22"/>
              </w:rPr>
            </w:pPr>
            <w:r>
              <w:rPr>
                <w:rFonts w:asciiTheme="minorHAnsi" w:hAnsiTheme="minorHAnsi" w:cstheme="minorHAnsi"/>
                <w:sz w:val="22"/>
                <w:szCs w:val="22"/>
              </w:rPr>
              <w:t>……………€</w:t>
            </w:r>
          </w:p>
        </w:tc>
      </w:tr>
      <w:tr>
        <w:trPr>
          <w:trHeight w:val="835"/>
        </w:trPr>
        <w:tc>
          <w:tcPr>
            <w:tcW w:w="253" w:type="pct"/>
            <w:tcBorders>
              <w:top w:val="single" w:sz="4" w:space="0" w:color="auto"/>
              <w:left w:val="single" w:sz="4" w:space="0" w:color="auto"/>
              <w:bottom w:val="single" w:sz="4" w:space="0" w:color="auto"/>
              <w:right w:val="single" w:sz="4" w:space="0" w:color="auto"/>
            </w:tcBorders>
          </w:tcPr>
          <w:p>
            <w:pPr>
              <w:spacing w:before="120"/>
              <w:rPr>
                <w:rFonts w:asciiTheme="minorHAnsi" w:hAnsiTheme="minorHAnsi" w:cstheme="minorHAnsi"/>
                <w:szCs w:val="22"/>
              </w:rPr>
            </w:pPr>
            <w:r>
              <w:rPr>
                <w:rFonts w:asciiTheme="minorHAnsi" w:hAnsiTheme="minorHAnsi" w:cstheme="minorHAnsi"/>
                <w:szCs w:val="22"/>
              </w:rPr>
              <w:sym w:font="Wingdings" w:char="F0A8"/>
            </w:r>
          </w:p>
        </w:tc>
        <w:tc>
          <w:tcPr>
            <w:tcW w:w="271" w:type="pct"/>
            <w:tcBorders>
              <w:top w:val="single" w:sz="4" w:space="0" w:color="auto"/>
              <w:left w:val="single" w:sz="4" w:space="0" w:color="auto"/>
              <w:bottom w:val="single" w:sz="4" w:space="0" w:color="auto"/>
              <w:right w:val="single" w:sz="4" w:space="0" w:color="auto"/>
            </w:tcBorders>
          </w:tcPr>
          <w:p>
            <w:pPr>
              <w:spacing w:before="120"/>
              <w:rPr>
                <w:rFonts w:asciiTheme="minorHAnsi" w:hAnsiTheme="minorHAnsi" w:cstheme="minorHAnsi"/>
                <w:sz w:val="22"/>
                <w:szCs w:val="22"/>
              </w:rPr>
            </w:pPr>
            <w:r>
              <w:rPr>
                <w:rFonts w:asciiTheme="minorHAnsi" w:hAnsiTheme="minorHAnsi" w:cstheme="minorHAnsi"/>
                <w:sz w:val="22"/>
                <w:szCs w:val="22"/>
              </w:rPr>
              <w:t>7°</w:t>
            </w:r>
          </w:p>
        </w:tc>
        <w:tc>
          <w:tcPr>
            <w:tcW w:w="3132" w:type="pct"/>
            <w:tcBorders>
              <w:top w:val="single" w:sz="4" w:space="0" w:color="auto"/>
              <w:left w:val="single" w:sz="4" w:space="0" w:color="auto"/>
              <w:bottom w:val="single" w:sz="4" w:space="0" w:color="auto"/>
              <w:right w:val="single" w:sz="4" w:space="0" w:color="auto"/>
            </w:tcBorders>
          </w:tcPr>
          <w:p>
            <w:pPr>
              <w:spacing w:before="120" w:after="80"/>
              <w:rPr>
                <w:rFonts w:asciiTheme="minorHAnsi" w:hAnsiTheme="minorHAnsi" w:cstheme="minorHAnsi"/>
                <w:sz w:val="22"/>
                <w:szCs w:val="22"/>
              </w:rPr>
            </w:pPr>
            <w:r>
              <w:rPr>
                <w:rFonts w:asciiTheme="minorHAnsi" w:hAnsiTheme="minorHAnsi" w:cstheme="minorHAnsi"/>
                <w:sz w:val="22"/>
                <w:szCs w:val="22"/>
              </w:rPr>
              <w:t>Création d’espaces de rencontre, bibliothèque, centre de documentation et de ressources multimédias. Achat de livres, de manuels scolaires, de journaux, de revues et périodiques, de logiciels scolaires et autres supports d’information</w:t>
            </w:r>
          </w:p>
        </w:tc>
        <w:tc>
          <w:tcPr>
            <w:tcW w:w="671" w:type="pct"/>
            <w:tcBorders>
              <w:top w:val="single" w:sz="4" w:space="0" w:color="auto"/>
              <w:left w:val="single" w:sz="4" w:space="0" w:color="auto"/>
              <w:bottom w:val="single" w:sz="4" w:space="0" w:color="auto"/>
              <w:right w:val="single" w:sz="4" w:space="0" w:color="auto"/>
            </w:tcBorders>
            <w:vAlign w:val="bottom"/>
          </w:tcPr>
          <w:p>
            <w:pPr>
              <w:spacing w:before="120"/>
              <w:jc w:val="center"/>
              <w:rPr>
                <w:rFonts w:asciiTheme="minorHAnsi" w:hAnsiTheme="minorHAnsi" w:cstheme="minorHAnsi"/>
                <w:sz w:val="22"/>
                <w:szCs w:val="22"/>
              </w:rPr>
            </w:pPr>
            <w:r>
              <w:rPr>
                <w:rFonts w:asciiTheme="minorHAnsi" w:hAnsiTheme="minorHAnsi" w:cstheme="minorHAnsi"/>
                <w:sz w:val="22"/>
                <w:szCs w:val="22"/>
              </w:rPr>
              <w:t>……………€</w:t>
            </w:r>
          </w:p>
        </w:tc>
        <w:tc>
          <w:tcPr>
            <w:tcW w:w="6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pPr>
              <w:spacing w:before="120"/>
              <w:jc w:val="center"/>
              <w:rPr>
                <w:rFonts w:asciiTheme="minorHAnsi" w:hAnsiTheme="minorHAnsi" w:cstheme="minorHAnsi"/>
                <w:sz w:val="22"/>
                <w:szCs w:val="22"/>
              </w:rPr>
            </w:pPr>
            <w:r>
              <w:rPr>
                <w:rFonts w:asciiTheme="minorHAnsi" w:hAnsiTheme="minorHAnsi" w:cstheme="minorHAnsi"/>
                <w:sz w:val="22"/>
                <w:szCs w:val="22"/>
              </w:rPr>
              <w:t>……………€</w:t>
            </w:r>
          </w:p>
        </w:tc>
      </w:tr>
      <w:tr>
        <w:trPr>
          <w:trHeight w:val="651"/>
        </w:trPr>
        <w:tc>
          <w:tcPr>
            <w:tcW w:w="253" w:type="pct"/>
            <w:tcBorders>
              <w:top w:val="single" w:sz="4" w:space="0" w:color="auto"/>
              <w:left w:val="single" w:sz="4" w:space="0" w:color="auto"/>
              <w:bottom w:val="single" w:sz="4" w:space="0" w:color="auto"/>
              <w:right w:val="single" w:sz="4" w:space="0" w:color="auto"/>
            </w:tcBorders>
          </w:tcPr>
          <w:p>
            <w:pPr>
              <w:spacing w:before="120"/>
              <w:rPr>
                <w:rFonts w:asciiTheme="minorHAnsi" w:hAnsiTheme="minorHAnsi" w:cstheme="minorHAnsi"/>
                <w:szCs w:val="22"/>
              </w:rPr>
            </w:pPr>
            <w:r>
              <w:rPr>
                <w:rFonts w:asciiTheme="minorHAnsi" w:hAnsiTheme="minorHAnsi" w:cstheme="minorHAnsi"/>
                <w:szCs w:val="22"/>
              </w:rPr>
              <w:sym w:font="Wingdings" w:char="F0A8"/>
            </w:r>
          </w:p>
        </w:tc>
        <w:tc>
          <w:tcPr>
            <w:tcW w:w="271" w:type="pct"/>
            <w:tcBorders>
              <w:top w:val="single" w:sz="4" w:space="0" w:color="auto"/>
              <w:left w:val="single" w:sz="4" w:space="0" w:color="auto"/>
              <w:bottom w:val="single" w:sz="4" w:space="0" w:color="auto"/>
              <w:right w:val="single" w:sz="4" w:space="0" w:color="auto"/>
            </w:tcBorders>
          </w:tcPr>
          <w:p>
            <w:pPr>
              <w:spacing w:before="120"/>
              <w:rPr>
                <w:rFonts w:asciiTheme="minorHAnsi" w:hAnsiTheme="minorHAnsi" w:cstheme="minorHAnsi"/>
                <w:sz w:val="22"/>
                <w:szCs w:val="22"/>
              </w:rPr>
            </w:pPr>
            <w:r>
              <w:rPr>
                <w:rFonts w:asciiTheme="minorHAnsi" w:hAnsiTheme="minorHAnsi" w:cstheme="minorHAnsi"/>
                <w:sz w:val="22"/>
                <w:szCs w:val="22"/>
              </w:rPr>
              <w:t>8°</w:t>
            </w:r>
          </w:p>
        </w:tc>
        <w:tc>
          <w:tcPr>
            <w:tcW w:w="3132" w:type="pct"/>
            <w:tcBorders>
              <w:top w:val="single" w:sz="4" w:space="0" w:color="auto"/>
              <w:left w:val="single" w:sz="4" w:space="0" w:color="auto"/>
              <w:bottom w:val="single" w:sz="4" w:space="0" w:color="auto"/>
              <w:right w:val="single" w:sz="4" w:space="0" w:color="auto"/>
            </w:tcBorders>
          </w:tcPr>
          <w:p>
            <w:pPr>
              <w:spacing w:before="120" w:after="80"/>
              <w:rPr>
                <w:rFonts w:asciiTheme="minorHAnsi" w:hAnsiTheme="minorHAnsi" w:cstheme="minorHAnsi"/>
                <w:sz w:val="22"/>
                <w:szCs w:val="22"/>
              </w:rPr>
            </w:pPr>
            <w:r>
              <w:rPr>
                <w:rFonts w:asciiTheme="minorHAnsi" w:hAnsiTheme="minorHAnsi" w:cstheme="minorHAnsi"/>
                <w:sz w:val="22"/>
                <w:szCs w:val="22"/>
              </w:rPr>
              <w:t>Frais de participation et de déplacement aux activités pédagogiques, éducatives, culturelles et sportives</w:t>
            </w:r>
          </w:p>
        </w:tc>
        <w:tc>
          <w:tcPr>
            <w:tcW w:w="671" w:type="pct"/>
            <w:tcBorders>
              <w:top w:val="single" w:sz="4" w:space="0" w:color="auto"/>
              <w:left w:val="single" w:sz="4" w:space="0" w:color="auto"/>
              <w:bottom w:val="single" w:sz="4" w:space="0" w:color="auto"/>
              <w:right w:val="single" w:sz="4" w:space="0" w:color="auto"/>
            </w:tcBorders>
            <w:vAlign w:val="bottom"/>
          </w:tcPr>
          <w:p>
            <w:pPr>
              <w:spacing w:before="120"/>
              <w:jc w:val="center"/>
              <w:rPr>
                <w:rFonts w:asciiTheme="minorHAnsi" w:hAnsiTheme="minorHAnsi" w:cstheme="minorHAnsi"/>
                <w:sz w:val="22"/>
                <w:szCs w:val="22"/>
              </w:rPr>
            </w:pPr>
            <w:r>
              <w:rPr>
                <w:rFonts w:asciiTheme="minorHAnsi" w:hAnsiTheme="minorHAnsi" w:cstheme="minorHAnsi"/>
                <w:sz w:val="22"/>
                <w:szCs w:val="22"/>
              </w:rPr>
              <w:t>……………€</w:t>
            </w:r>
          </w:p>
        </w:tc>
        <w:tc>
          <w:tcPr>
            <w:tcW w:w="6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pPr>
              <w:spacing w:before="120"/>
              <w:jc w:val="center"/>
              <w:rPr>
                <w:rFonts w:asciiTheme="minorHAnsi" w:hAnsiTheme="minorHAnsi" w:cstheme="minorHAnsi"/>
                <w:sz w:val="22"/>
                <w:szCs w:val="22"/>
              </w:rPr>
            </w:pPr>
            <w:r>
              <w:rPr>
                <w:rFonts w:asciiTheme="minorHAnsi" w:hAnsiTheme="minorHAnsi" w:cstheme="minorHAnsi"/>
                <w:sz w:val="22"/>
                <w:szCs w:val="22"/>
              </w:rPr>
              <w:t>……………€</w:t>
            </w:r>
          </w:p>
        </w:tc>
      </w:tr>
      <w:tr>
        <w:trPr>
          <w:trHeight w:val="618"/>
        </w:trPr>
        <w:tc>
          <w:tcPr>
            <w:tcW w:w="253" w:type="pct"/>
            <w:tcBorders>
              <w:top w:val="single" w:sz="4" w:space="0" w:color="auto"/>
              <w:left w:val="single" w:sz="4" w:space="0" w:color="auto"/>
              <w:bottom w:val="single" w:sz="4" w:space="0" w:color="auto"/>
              <w:right w:val="single" w:sz="4" w:space="0" w:color="auto"/>
            </w:tcBorders>
          </w:tcPr>
          <w:p>
            <w:pPr>
              <w:spacing w:before="120"/>
              <w:rPr>
                <w:rFonts w:asciiTheme="minorHAnsi" w:hAnsiTheme="minorHAnsi" w:cstheme="minorHAnsi"/>
                <w:szCs w:val="22"/>
              </w:rPr>
            </w:pPr>
            <w:r>
              <w:rPr>
                <w:rFonts w:asciiTheme="minorHAnsi" w:hAnsiTheme="minorHAnsi" w:cstheme="minorHAnsi"/>
                <w:szCs w:val="22"/>
              </w:rPr>
              <w:sym w:font="Wingdings" w:char="F0A8"/>
            </w:r>
          </w:p>
        </w:tc>
        <w:tc>
          <w:tcPr>
            <w:tcW w:w="271" w:type="pct"/>
            <w:tcBorders>
              <w:top w:val="single" w:sz="4" w:space="0" w:color="auto"/>
              <w:left w:val="single" w:sz="4" w:space="0" w:color="auto"/>
              <w:bottom w:val="single" w:sz="4" w:space="0" w:color="auto"/>
              <w:right w:val="single" w:sz="4" w:space="0" w:color="auto"/>
            </w:tcBorders>
          </w:tcPr>
          <w:p>
            <w:pPr>
              <w:spacing w:before="120"/>
              <w:rPr>
                <w:rFonts w:asciiTheme="minorHAnsi" w:hAnsiTheme="minorHAnsi" w:cstheme="minorHAnsi"/>
                <w:sz w:val="22"/>
                <w:szCs w:val="22"/>
              </w:rPr>
            </w:pPr>
            <w:r>
              <w:rPr>
                <w:rFonts w:asciiTheme="minorHAnsi" w:hAnsiTheme="minorHAnsi" w:cstheme="minorHAnsi"/>
                <w:sz w:val="22"/>
                <w:szCs w:val="22"/>
              </w:rPr>
              <w:t>9°</w:t>
            </w:r>
          </w:p>
        </w:tc>
        <w:tc>
          <w:tcPr>
            <w:tcW w:w="3132" w:type="pct"/>
            <w:tcBorders>
              <w:top w:val="single" w:sz="4" w:space="0" w:color="auto"/>
              <w:left w:val="single" w:sz="4" w:space="0" w:color="auto"/>
              <w:bottom w:val="single" w:sz="4" w:space="0" w:color="auto"/>
              <w:right w:val="single" w:sz="4" w:space="0" w:color="auto"/>
            </w:tcBorders>
          </w:tcPr>
          <w:p>
            <w:pPr>
              <w:spacing w:before="120" w:after="80"/>
              <w:rPr>
                <w:rFonts w:asciiTheme="minorHAnsi" w:hAnsiTheme="minorHAnsi" w:cstheme="minorHAnsi"/>
                <w:sz w:val="22"/>
                <w:szCs w:val="22"/>
              </w:rPr>
            </w:pPr>
            <w:r>
              <w:rPr>
                <w:rFonts w:asciiTheme="minorHAnsi" w:hAnsiTheme="minorHAnsi" w:cstheme="minorHAnsi"/>
                <w:sz w:val="22"/>
                <w:szCs w:val="22"/>
              </w:rPr>
              <w:t>Aménagement et embellissement des locaux et des abords de l’implantation</w:t>
            </w:r>
          </w:p>
        </w:tc>
        <w:tc>
          <w:tcPr>
            <w:tcW w:w="671" w:type="pct"/>
            <w:tcBorders>
              <w:top w:val="single" w:sz="4" w:space="0" w:color="auto"/>
              <w:left w:val="single" w:sz="4" w:space="0" w:color="auto"/>
              <w:bottom w:val="single" w:sz="4" w:space="0" w:color="auto"/>
              <w:right w:val="single" w:sz="4" w:space="0" w:color="auto"/>
            </w:tcBorders>
            <w:vAlign w:val="bottom"/>
          </w:tcPr>
          <w:p>
            <w:pPr>
              <w:spacing w:before="120"/>
              <w:jc w:val="center"/>
              <w:rPr>
                <w:rFonts w:asciiTheme="minorHAnsi" w:hAnsiTheme="minorHAnsi" w:cstheme="minorHAnsi"/>
                <w:sz w:val="22"/>
                <w:szCs w:val="22"/>
              </w:rPr>
            </w:pPr>
            <w:r>
              <w:rPr>
                <w:rFonts w:asciiTheme="minorHAnsi" w:hAnsiTheme="minorHAnsi" w:cstheme="minorHAnsi"/>
                <w:sz w:val="22"/>
                <w:szCs w:val="22"/>
              </w:rPr>
              <w:t>……………€</w:t>
            </w:r>
          </w:p>
        </w:tc>
        <w:tc>
          <w:tcPr>
            <w:tcW w:w="6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pPr>
              <w:spacing w:before="120"/>
              <w:jc w:val="center"/>
              <w:rPr>
                <w:rFonts w:asciiTheme="minorHAnsi" w:hAnsiTheme="minorHAnsi" w:cstheme="minorHAnsi"/>
                <w:sz w:val="22"/>
                <w:szCs w:val="22"/>
              </w:rPr>
            </w:pPr>
            <w:r>
              <w:rPr>
                <w:rFonts w:asciiTheme="minorHAnsi" w:hAnsiTheme="minorHAnsi" w:cstheme="minorHAnsi"/>
                <w:sz w:val="22"/>
                <w:szCs w:val="22"/>
              </w:rPr>
              <w:t>……………€</w:t>
            </w:r>
          </w:p>
        </w:tc>
      </w:tr>
      <w:tr>
        <w:trPr>
          <w:trHeight w:val="430"/>
        </w:trPr>
        <w:tc>
          <w:tcPr>
            <w:tcW w:w="253" w:type="pct"/>
            <w:tcBorders>
              <w:top w:val="single" w:sz="4" w:space="0" w:color="auto"/>
              <w:left w:val="single" w:sz="4" w:space="0" w:color="auto"/>
              <w:bottom w:val="single" w:sz="4" w:space="0" w:color="auto"/>
              <w:right w:val="single" w:sz="4" w:space="0" w:color="auto"/>
            </w:tcBorders>
          </w:tcPr>
          <w:p>
            <w:pPr>
              <w:spacing w:before="120"/>
              <w:rPr>
                <w:rFonts w:asciiTheme="minorHAnsi" w:hAnsiTheme="minorHAnsi" w:cstheme="minorHAnsi"/>
                <w:szCs w:val="22"/>
              </w:rPr>
            </w:pPr>
            <w:r>
              <w:rPr>
                <w:rFonts w:asciiTheme="minorHAnsi" w:hAnsiTheme="minorHAnsi" w:cstheme="minorHAnsi"/>
                <w:szCs w:val="22"/>
              </w:rPr>
              <w:sym w:font="Wingdings" w:char="F0A8"/>
            </w:r>
          </w:p>
        </w:tc>
        <w:tc>
          <w:tcPr>
            <w:tcW w:w="271" w:type="pct"/>
            <w:tcBorders>
              <w:top w:val="single" w:sz="4" w:space="0" w:color="auto"/>
              <w:left w:val="single" w:sz="4" w:space="0" w:color="auto"/>
              <w:bottom w:val="single" w:sz="4" w:space="0" w:color="auto"/>
              <w:right w:val="single" w:sz="4" w:space="0" w:color="auto"/>
            </w:tcBorders>
          </w:tcPr>
          <w:p>
            <w:pPr>
              <w:spacing w:before="120"/>
              <w:rPr>
                <w:rFonts w:asciiTheme="minorHAnsi" w:hAnsiTheme="minorHAnsi" w:cstheme="minorHAnsi"/>
                <w:sz w:val="22"/>
                <w:szCs w:val="22"/>
              </w:rPr>
            </w:pPr>
            <w:r>
              <w:rPr>
                <w:rFonts w:asciiTheme="minorHAnsi" w:hAnsiTheme="minorHAnsi" w:cstheme="minorHAnsi"/>
                <w:sz w:val="22"/>
                <w:szCs w:val="22"/>
              </w:rPr>
              <w:t>10°</w:t>
            </w:r>
          </w:p>
        </w:tc>
        <w:tc>
          <w:tcPr>
            <w:tcW w:w="3132" w:type="pct"/>
            <w:tcBorders>
              <w:top w:val="single" w:sz="4" w:space="0" w:color="auto"/>
              <w:left w:val="single" w:sz="4" w:space="0" w:color="auto"/>
              <w:bottom w:val="single" w:sz="4" w:space="0" w:color="auto"/>
              <w:right w:val="single" w:sz="4" w:space="0" w:color="auto"/>
            </w:tcBorders>
          </w:tcPr>
          <w:p>
            <w:pPr>
              <w:spacing w:before="120" w:after="80"/>
              <w:rPr>
                <w:rFonts w:asciiTheme="minorHAnsi" w:hAnsiTheme="minorHAnsi" w:cstheme="minorHAnsi"/>
                <w:sz w:val="22"/>
                <w:szCs w:val="22"/>
              </w:rPr>
            </w:pPr>
            <w:r>
              <w:rPr>
                <w:rFonts w:asciiTheme="minorHAnsi" w:hAnsiTheme="minorHAnsi" w:cstheme="minorHAnsi"/>
                <w:sz w:val="22"/>
                <w:szCs w:val="22"/>
              </w:rPr>
              <w:t>Achat de matériel destiné spécifiquement à l’implantation.</w:t>
            </w:r>
          </w:p>
        </w:tc>
        <w:tc>
          <w:tcPr>
            <w:tcW w:w="671" w:type="pct"/>
            <w:tcBorders>
              <w:top w:val="single" w:sz="4" w:space="0" w:color="auto"/>
              <w:left w:val="single" w:sz="4" w:space="0" w:color="auto"/>
              <w:bottom w:val="single" w:sz="4" w:space="0" w:color="auto"/>
              <w:right w:val="single" w:sz="4" w:space="0" w:color="auto"/>
            </w:tcBorders>
            <w:vAlign w:val="bottom"/>
          </w:tcPr>
          <w:p>
            <w:pPr>
              <w:spacing w:before="120"/>
              <w:jc w:val="center"/>
              <w:rPr>
                <w:rFonts w:asciiTheme="minorHAnsi" w:hAnsiTheme="minorHAnsi" w:cstheme="minorHAnsi"/>
                <w:sz w:val="22"/>
                <w:szCs w:val="22"/>
              </w:rPr>
            </w:pPr>
            <w:r>
              <w:rPr>
                <w:rFonts w:asciiTheme="minorHAnsi" w:hAnsiTheme="minorHAnsi" w:cstheme="minorHAnsi"/>
                <w:sz w:val="22"/>
                <w:szCs w:val="22"/>
              </w:rPr>
              <w:t>……………€</w:t>
            </w:r>
          </w:p>
        </w:tc>
        <w:tc>
          <w:tcPr>
            <w:tcW w:w="6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pPr>
              <w:spacing w:before="120"/>
              <w:jc w:val="center"/>
              <w:rPr>
                <w:rFonts w:asciiTheme="minorHAnsi" w:hAnsiTheme="minorHAnsi" w:cstheme="minorHAnsi"/>
                <w:sz w:val="22"/>
                <w:szCs w:val="22"/>
              </w:rPr>
            </w:pPr>
            <w:r>
              <w:rPr>
                <w:rFonts w:asciiTheme="minorHAnsi" w:hAnsiTheme="minorHAnsi" w:cstheme="minorHAnsi"/>
                <w:sz w:val="22"/>
                <w:szCs w:val="22"/>
              </w:rPr>
              <w:t>……………€</w:t>
            </w:r>
          </w:p>
        </w:tc>
      </w:tr>
      <w:tr>
        <w:trPr>
          <w:trHeight w:val="835"/>
        </w:trPr>
        <w:tc>
          <w:tcPr>
            <w:tcW w:w="253" w:type="pct"/>
            <w:tcBorders>
              <w:top w:val="single" w:sz="4" w:space="0" w:color="auto"/>
              <w:left w:val="single" w:sz="4" w:space="0" w:color="auto"/>
              <w:bottom w:val="single" w:sz="4" w:space="0" w:color="auto"/>
              <w:right w:val="single" w:sz="4" w:space="0" w:color="auto"/>
            </w:tcBorders>
          </w:tcPr>
          <w:p>
            <w:pPr>
              <w:spacing w:before="120"/>
              <w:rPr>
                <w:rFonts w:asciiTheme="minorHAnsi" w:hAnsiTheme="minorHAnsi" w:cstheme="minorHAnsi"/>
                <w:b/>
                <w:szCs w:val="22"/>
              </w:rPr>
            </w:pPr>
            <w:r>
              <w:rPr>
                <w:rFonts w:asciiTheme="minorHAnsi" w:hAnsiTheme="minorHAnsi" w:cstheme="minorHAnsi"/>
                <w:b/>
                <w:szCs w:val="22"/>
              </w:rPr>
              <w:sym w:font="Wingdings" w:char="F0A8"/>
            </w:r>
          </w:p>
        </w:tc>
        <w:tc>
          <w:tcPr>
            <w:tcW w:w="271" w:type="pct"/>
            <w:tcBorders>
              <w:top w:val="single" w:sz="4" w:space="0" w:color="auto"/>
              <w:left w:val="single" w:sz="4" w:space="0" w:color="auto"/>
              <w:bottom w:val="single" w:sz="4" w:space="0" w:color="auto"/>
              <w:right w:val="single" w:sz="4" w:space="0" w:color="auto"/>
            </w:tcBorders>
          </w:tcPr>
          <w:p>
            <w:pPr>
              <w:spacing w:before="120"/>
              <w:rPr>
                <w:rFonts w:asciiTheme="minorHAnsi" w:hAnsiTheme="minorHAnsi" w:cstheme="minorHAnsi"/>
                <w:b/>
                <w:sz w:val="22"/>
                <w:szCs w:val="22"/>
              </w:rPr>
            </w:pPr>
            <w:r>
              <w:rPr>
                <w:rFonts w:asciiTheme="minorHAnsi" w:hAnsiTheme="minorHAnsi" w:cstheme="minorHAnsi"/>
                <w:b/>
                <w:sz w:val="22"/>
                <w:szCs w:val="22"/>
              </w:rPr>
              <w:t>11°</w:t>
            </w:r>
          </w:p>
        </w:tc>
        <w:tc>
          <w:tcPr>
            <w:tcW w:w="3132" w:type="pct"/>
            <w:tcBorders>
              <w:top w:val="single" w:sz="4" w:space="0" w:color="auto"/>
              <w:left w:val="single" w:sz="4" w:space="0" w:color="auto"/>
              <w:bottom w:val="single" w:sz="4" w:space="0" w:color="auto"/>
              <w:right w:val="single" w:sz="4" w:space="0" w:color="auto"/>
            </w:tcBorders>
          </w:tcPr>
          <w:p>
            <w:pPr>
              <w:spacing w:before="120" w:after="80"/>
              <w:rPr>
                <w:rFonts w:asciiTheme="minorHAnsi" w:hAnsiTheme="minorHAnsi" w:cstheme="minorHAnsi"/>
                <w:b/>
                <w:sz w:val="22"/>
                <w:szCs w:val="22"/>
              </w:rPr>
            </w:pPr>
            <w:r>
              <w:rPr>
                <w:rFonts w:asciiTheme="minorHAnsi" w:hAnsiTheme="minorHAnsi" w:cstheme="minorHAnsi"/>
                <w:b/>
                <w:sz w:val="22"/>
                <w:szCs w:val="22"/>
              </w:rPr>
              <w:t>Personnel enseignant supplémentaire ou périodes complémentaires pour l’encadrement en classe ou hors classe, la remédiation, l’étude dirigée, le soutien dans l’apprentissage, le conseil pédagogique, la formation, le travail en équipe, le tutorat dans le cadre de la lutte contre l’échec et le décrochage scolaires</w:t>
            </w:r>
          </w:p>
        </w:tc>
        <w:tc>
          <w:tcPr>
            <w:tcW w:w="671" w:type="pct"/>
            <w:tcBorders>
              <w:top w:val="single" w:sz="4" w:space="0" w:color="auto"/>
              <w:left w:val="single" w:sz="4" w:space="0" w:color="auto"/>
              <w:bottom w:val="single" w:sz="4" w:space="0" w:color="auto"/>
              <w:right w:val="single" w:sz="4" w:space="0" w:color="auto"/>
            </w:tcBorders>
            <w:vAlign w:val="bottom"/>
          </w:tcPr>
          <w:p>
            <w:pPr>
              <w:spacing w:before="120"/>
              <w:jc w:val="center"/>
              <w:rPr>
                <w:rFonts w:asciiTheme="minorHAnsi" w:hAnsiTheme="minorHAnsi" w:cstheme="minorHAnsi"/>
                <w:sz w:val="22"/>
                <w:szCs w:val="22"/>
              </w:rPr>
            </w:pPr>
            <w:r>
              <w:rPr>
                <w:rFonts w:asciiTheme="minorHAnsi" w:hAnsiTheme="minorHAnsi" w:cstheme="minorHAnsi"/>
                <w:sz w:val="22"/>
                <w:szCs w:val="22"/>
              </w:rPr>
              <w:t>……………€</w:t>
            </w:r>
          </w:p>
        </w:tc>
        <w:tc>
          <w:tcPr>
            <w:tcW w:w="6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pPr>
              <w:spacing w:before="120"/>
              <w:jc w:val="center"/>
              <w:rPr>
                <w:rFonts w:asciiTheme="minorHAnsi" w:hAnsiTheme="minorHAnsi" w:cstheme="minorHAnsi"/>
                <w:sz w:val="22"/>
                <w:szCs w:val="22"/>
              </w:rPr>
            </w:pPr>
            <w:r>
              <w:rPr>
                <w:rFonts w:asciiTheme="minorHAnsi" w:hAnsiTheme="minorHAnsi" w:cstheme="minorHAnsi"/>
                <w:sz w:val="22"/>
                <w:szCs w:val="22"/>
              </w:rPr>
              <w:t>……………€</w:t>
            </w:r>
          </w:p>
        </w:tc>
      </w:tr>
      <w:tr>
        <w:trPr>
          <w:trHeight w:val="554"/>
        </w:trPr>
        <w:tc>
          <w:tcPr>
            <w:tcW w:w="3657" w:type="pct"/>
            <w:gridSpan w:val="3"/>
            <w:vAlign w:val="center"/>
          </w:tcPr>
          <w:p>
            <w:pPr>
              <w:rPr>
                <w:rFonts w:asciiTheme="minorHAnsi" w:hAnsiTheme="minorHAnsi" w:cstheme="minorHAnsi"/>
                <w:sz w:val="22"/>
                <w:szCs w:val="22"/>
              </w:rPr>
            </w:pPr>
            <w:r>
              <w:rPr>
                <w:rFonts w:asciiTheme="minorHAnsi" w:hAnsiTheme="minorHAnsi" w:cstheme="minorHAnsi"/>
                <w:b/>
                <w:sz w:val="22"/>
                <w:szCs w:val="22"/>
              </w:rPr>
              <w:t>Total</w:t>
            </w:r>
          </w:p>
        </w:tc>
        <w:tc>
          <w:tcPr>
            <w:tcW w:w="671" w:type="pct"/>
            <w:vAlign w:val="center"/>
          </w:tcPr>
          <w:p>
            <w:pPr>
              <w:jc w:val="center"/>
              <w:rPr>
                <w:rFonts w:asciiTheme="minorHAnsi" w:hAnsiTheme="minorHAnsi" w:cstheme="minorHAnsi"/>
                <w:b/>
                <w:sz w:val="22"/>
                <w:szCs w:val="22"/>
              </w:rPr>
            </w:pPr>
            <w:r>
              <w:rPr>
                <w:rFonts w:asciiTheme="minorHAnsi" w:hAnsiTheme="minorHAnsi" w:cstheme="minorHAnsi"/>
                <w:b/>
                <w:sz w:val="22"/>
                <w:szCs w:val="22"/>
              </w:rPr>
              <w:t>……………€</w:t>
            </w:r>
          </w:p>
        </w:tc>
        <w:tc>
          <w:tcPr>
            <w:tcW w:w="672" w:type="pct"/>
            <w:shd w:val="clear" w:color="auto" w:fill="D9D9D9" w:themeFill="background1" w:themeFillShade="D9"/>
            <w:vAlign w:val="center"/>
          </w:tcPr>
          <w:p>
            <w:pPr>
              <w:jc w:val="center"/>
              <w:rPr>
                <w:rFonts w:asciiTheme="minorHAnsi" w:hAnsiTheme="minorHAnsi" w:cstheme="minorHAnsi"/>
                <w:b/>
                <w:sz w:val="22"/>
                <w:szCs w:val="22"/>
              </w:rPr>
            </w:pPr>
            <w:r>
              <w:rPr>
                <w:rFonts w:asciiTheme="minorHAnsi" w:hAnsiTheme="minorHAnsi" w:cstheme="minorHAnsi"/>
                <w:b/>
                <w:sz w:val="22"/>
                <w:szCs w:val="22"/>
              </w:rPr>
              <w:t>……………€</w:t>
            </w:r>
          </w:p>
        </w:tc>
      </w:tr>
    </w:tbl>
    <w:p>
      <w:pPr>
        <w:rPr>
          <w:rFonts w:asciiTheme="minorHAnsi" w:hAnsiTheme="minorHAnsi" w:cstheme="minorHAnsi"/>
          <w:sz w:val="22"/>
          <w:szCs w:val="22"/>
          <w:highlight w:val="yellow"/>
        </w:rPr>
      </w:pPr>
    </w:p>
    <w:p>
      <w:pPr>
        <w:rPr>
          <w:rFonts w:asciiTheme="minorHAnsi" w:hAnsiTheme="minorHAnsi" w:cstheme="minorHAnsi"/>
          <w:sz w:val="22"/>
          <w:szCs w:val="22"/>
          <w:u w:val="single"/>
        </w:rPr>
      </w:pPr>
    </w:p>
    <w:p>
      <w:pPr>
        <w:rPr>
          <w:rFonts w:asciiTheme="minorHAnsi" w:hAnsiTheme="minorHAnsi" w:cstheme="minorHAnsi"/>
          <w:sz w:val="22"/>
          <w:szCs w:val="22"/>
          <w:u w:val="single"/>
        </w:rPr>
      </w:pPr>
      <w:r>
        <w:rPr>
          <w:rFonts w:asciiTheme="minorHAnsi" w:hAnsiTheme="minorHAnsi" w:cstheme="minorHAnsi"/>
          <w:sz w:val="22"/>
          <w:szCs w:val="22"/>
          <w:u w:val="single"/>
        </w:rPr>
        <w:br w:type="page"/>
      </w:r>
    </w:p>
    <w:p>
      <w:pPr>
        <w:spacing w:after="120"/>
        <w:rPr>
          <w:rFonts w:asciiTheme="minorHAnsi" w:hAnsiTheme="minorHAnsi" w:cstheme="minorHAnsi"/>
          <w:sz w:val="22"/>
          <w:szCs w:val="22"/>
          <w:u w:val="single"/>
        </w:rPr>
      </w:pPr>
      <w:r>
        <w:rPr>
          <w:rFonts w:asciiTheme="minorHAnsi" w:hAnsiTheme="minorHAnsi" w:cstheme="minorHAnsi"/>
          <w:sz w:val="22"/>
          <w:szCs w:val="22"/>
          <w:u w:val="single"/>
        </w:rPr>
        <w:t xml:space="preserve">6. Approbation, avis et signature du </w:t>
      </w:r>
      <w:r>
        <w:rPr>
          <w:rFonts w:asciiTheme="minorHAnsi" w:hAnsiTheme="minorHAnsi" w:cstheme="minorHAnsi"/>
          <w:b/>
          <w:sz w:val="22"/>
          <w:szCs w:val="22"/>
          <w:u w:val="single"/>
        </w:rPr>
        <w:t>PGAED</w:t>
      </w:r>
      <w:r>
        <w:rPr>
          <w:rFonts w:asciiTheme="minorHAnsi" w:hAnsiTheme="minorHAnsi" w:cstheme="minorHAnsi"/>
          <w:sz w:val="22"/>
          <w:szCs w:val="22"/>
          <w:u w:val="single"/>
        </w:rPr>
        <w:t xml:space="preserve"> (à remplir pour le 30 juin</w:t>
      </w:r>
      <w:r>
        <w:rPr>
          <w:rStyle w:val="Appelnotedebasdep"/>
          <w:rFonts w:asciiTheme="minorHAnsi" w:hAnsiTheme="minorHAnsi" w:cstheme="minorHAnsi"/>
          <w:sz w:val="22"/>
          <w:szCs w:val="22"/>
          <w:u w:val="single"/>
        </w:rPr>
        <w:footnoteReference w:id="14"/>
      </w:r>
      <w:r>
        <w:rPr>
          <w:rFonts w:asciiTheme="minorHAnsi" w:hAnsiTheme="minorHAnsi" w:cstheme="minorHAnsi"/>
          <w:sz w:val="22"/>
          <w:szCs w:val="22"/>
          <w:u w:val="single"/>
        </w:rPr>
        <w:t xml:space="preserve"> qui précède l’année scolaire concernée)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tc>
          <w:tcPr>
            <w:tcW w:w="9212" w:type="dxa"/>
            <w:shd w:val="clear" w:color="auto" w:fill="auto"/>
          </w:tcPr>
          <w:p>
            <w:pPr>
              <w:rPr>
                <w:rFonts w:asciiTheme="minorHAnsi" w:hAnsiTheme="minorHAnsi" w:cstheme="minorHAnsi"/>
                <w:sz w:val="22"/>
                <w:szCs w:val="22"/>
              </w:rPr>
            </w:pPr>
            <w:r>
              <w:rPr>
                <w:rFonts w:asciiTheme="minorHAnsi" w:hAnsiTheme="minorHAnsi" w:cstheme="minorHAnsi"/>
                <w:sz w:val="22"/>
                <w:szCs w:val="22"/>
              </w:rPr>
              <w:t>Date, nom et signature du Chef d’établissement de l’implantation concernée</w:t>
            </w:r>
          </w:p>
          <w:p>
            <w:pPr>
              <w:rPr>
                <w:rFonts w:asciiTheme="minorHAnsi" w:hAnsiTheme="minorHAnsi" w:cstheme="minorHAnsi"/>
                <w:sz w:val="22"/>
                <w:szCs w:val="22"/>
              </w:rPr>
            </w:pPr>
          </w:p>
          <w:p>
            <w:pPr>
              <w:rPr>
                <w:rFonts w:asciiTheme="minorHAnsi" w:hAnsiTheme="minorHAnsi" w:cstheme="minorHAnsi"/>
                <w:sz w:val="22"/>
                <w:szCs w:val="22"/>
              </w:rPr>
            </w:pPr>
          </w:p>
          <w:p>
            <w:pPr>
              <w:rPr>
                <w:rFonts w:asciiTheme="minorHAnsi" w:hAnsiTheme="minorHAnsi" w:cstheme="minorHAnsi"/>
                <w:sz w:val="22"/>
                <w:szCs w:val="22"/>
              </w:rPr>
            </w:pPr>
          </w:p>
        </w:tc>
      </w:tr>
      <w:tr>
        <w:tc>
          <w:tcPr>
            <w:tcW w:w="9212" w:type="dxa"/>
            <w:shd w:val="clear" w:color="auto" w:fill="auto"/>
          </w:tcPr>
          <w:p>
            <w:pPr>
              <w:rPr>
                <w:rFonts w:asciiTheme="minorHAnsi" w:hAnsiTheme="minorHAnsi" w:cstheme="minorHAnsi"/>
                <w:sz w:val="22"/>
                <w:szCs w:val="22"/>
              </w:rPr>
            </w:pPr>
            <w:r>
              <w:rPr>
                <w:rFonts w:asciiTheme="minorHAnsi" w:hAnsiTheme="minorHAnsi" w:cstheme="minorHAnsi"/>
                <w:sz w:val="22"/>
                <w:szCs w:val="22"/>
              </w:rPr>
              <w:t>Date, nom, qualité et signature du représentant du Pouvoir organisateur (pour les établissements d’enseignement subventionné)</w:t>
            </w:r>
          </w:p>
          <w:p>
            <w:pPr>
              <w:rPr>
                <w:rFonts w:asciiTheme="minorHAnsi" w:hAnsiTheme="minorHAnsi" w:cstheme="minorHAnsi"/>
                <w:sz w:val="22"/>
                <w:szCs w:val="22"/>
              </w:rPr>
            </w:pPr>
          </w:p>
          <w:p>
            <w:pPr>
              <w:rPr>
                <w:rFonts w:asciiTheme="minorHAnsi" w:hAnsiTheme="minorHAnsi" w:cstheme="minorHAnsi"/>
                <w:sz w:val="22"/>
                <w:szCs w:val="22"/>
              </w:rPr>
            </w:pPr>
          </w:p>
          <w:p>
            <w:pPr>
              <w:rPr>
                <w:rFonts w:asciiTheme="minorHAnsi" w:hAnsiTheme="minorHAnsi" w:cstheme="minorHAnsi"/>
                <w:sz w:val="22"/>
                <w:szCs w:val="22"/>
              </w:rPr>
            </w:pPr>
          </w:p>
        </w:tc>
      </w:tr>
      <w:tr>
        <w:tc>
          <w:tcPr>
            <w:tcW w:w="9212" w:type="dxa"/>
            <w:shd w:val="clear" w:color="auto" w:fill="auto"/>
          </w:tcPr>
          <w:p>
            <w:pPr>
              <w:rPr>
                <w:rFonts w:asciiTheme="minorHAnsi" w:hAnsiTheme="minorHAnsi" w:cstheme="minorHAnsi"/>
                <w:sz w:val="22"/>
                <w:szCs w:val="22"/>
              </w:rPr>
            </w:pPr>
            <w:r>
              <w:rPr>
                <w:rFonts w:asciiTheme="minorHAnsi" w:hAnsiTheme="minorHAnsi" w:cstheme="minorHAnsi"/>
                <w:sz w:val="22"/>
                <w:szCs w:val="22"/>
              </w:rPr>
              <w:t>Date, noms et signatures du Secrétaire et du Président du Conseil de Participation + Extrait de l’avis du Conseil de Participation à annexer</w:t>
            </w:r>
          </w:p>
          <w:p>
            <w:pPr>
              <w:rPr>
                <w:rFonts w:asciiTheme="minorHAnsi" w:hAnsiTheme="minorHAnsi" w:cstheme="minorHAnsi"/>
                <w:sz w:val="22"/>
                <w:szCs w:val="22"/>
              </w:rPr>
            </w:pPr>
          </w:p>
          <w:p>
            <w:pPr>
              <w:rPr>
                <w:rFonts w:asciiTheme="minorHAnsi" w:hAnsiTheme="minorHAnsi" w:cstheme="minorHAnsi"/>
                <w:sz w:val="22"/>
                <w:szCs w:val="22"/>
              </w:rPr>
            </w:pPr>
          </w:p>
          <w:p>
            <w:pPr>
              <w:rPr>
                <w:rFonts w:asciiTheme="minorHAnsi" w:hAnsiTheme="minorHAnsi" w:cstheme="minorHAnsi"/>
                <w:sz w:val="22"/>
                <w:szCs w:val="22"/>
              </w:rPr>
            </w:pPr>
          </w:p>
          <w:p>
            <w:pPr>
              <w:rPr>
                <w:rFonts w:asciiTheme="minorHAnsi" w:hAnsiTheme="minorHAnsi" w:cstheme="minorHAnsi"/>
                <w:sz w:val="22"/>
                <w:szCs w:val="22"/>
              </w:rPr>
            </w:pPr>
          </w:p>
          <w:p>
            <w:pPr>
              <w:rPr>
                <w:rFonts w:asciiTheme="minorHAnsi" w:hAnsiTheme="minorHAnsi" w:cstheme="minorHAnsi"/>
                <w:sz w:val="22"/>
                <w:szCs w:val="22"/>
              </w:rPr>
            </w:pPr>
          </w:p>
        </w:tc>
      </w:tr>
      <w:tr>
        <w:tc>
          <w:tcPr>
            <w:tcW w:w="9212" w:type="dxa"/>
            <w:shd w:val="clear" w:color="auto" w:fill="auto"/>
          </w:tcPr>
          <w:p>
            <w:pPr>
              <w:rPr>
                <w:rFonts w:asciiTheme="minorHAnsi" w:hAnsiTheme="minorHAnsi" w:cstheme="minorHAnsi"/>
                <w:sz w:val="22"/>
                <w:szCs w:val="22"/>
              </w:rPr>
            </w:pPr>
            <w:r>
              <w:rPr>
                <w:rFonts w:asciiTheme="minorHAnsi" w:hAnsiTheme="minorHAnsi" w:cstheme="minorHAnsi"/>
                <w:sz w:val="22"/>
                <w:szCs w:val="22"/>
              </w:rPr>
              <w:t>Avis de l’Organe de concertation (COPALOC – COCOBA – CE – CPPT – ICL ou à défaut DS) :</w:t>
            </w:r>
          </w:p>
          <w:p>
            <w:pPr>
              <w:rPr>
                <w:rFonts w:asciiTheme="minorHAnsi" w:hAnsiTheme="minorHAnsi" w:cstheme="minorHAnsi"/>
                <w:sz w:val="22"/>
                <w:szCs w:val="22"/>
              </w:rPr>
            </w:pPr>
          </w:p>
          <w:p>
            <w:pPr>
              <w:rPr>
                <w:rFonts w:asciiTheme="minorHAnsi" w:hAnsiTheme="minorHAnsi" w:cstheme="minorHAnsi"/>
                <w:sz w:val="22"/>
                <w:szCs w:val="22"/>
              </w:rPr>
            </w:pPr>
          </w:p>
          <w:p>
            <w:pPr>
              <w:rPr>
                <w:rFonts w:asciiTheme="minorHAnsi" w:hAnsiTheme="minorHAnsi" w:cstheme="minorHAnsi"/>
                <w:sz w:val="22"/>
                <w:szCs w:val="22"/>
              </w:rPr>
            </w:pPr>
          </w:p>
          <w:p>
            <w:pPr>
              <w:rPr>
                <w:rFonts w:asciiTheme="minorHAnsi" w:hAnsiTheme="minorHAnsi" w:cstheme="minorHAnsi"/>
                <w:sz w:val="22"/>
                <w:szCs w:val="22"/>
              </w:rPr>
            </w:pPr>
          </w:p>
          <w:p>
            <w:pPr>
              <w:rPr>
                <w:rFonts w:asciiTheme="minorHAnsi" w:hAnsiTheme="minorHAnsi" w:cstheme="minorHAnsi"/>
                <w:sz w:val="22"/>
                <w:szCs w:val="22"/>
              </w:rPr>
            </w:pPr>
          </w:p>
        </w:tc>
      </w:tr>
    </w:tbl>
    <w:p>
      <w:pPr>
        <w:rPr>
          <w:rFonts w:asciiTheme="minorHAnsi" w:hAnsiTheme="minorHAnsi" w:cstheme="minorHAnsi"/>
          <w:sz w:val="22"/>
          <w:szCs w:val="22"/>
        </w:rPr>
      </w:pPr>
    </w:p>
    <w:p>
      <w:pPr>
        <w:spacing w:after="120"/>
        <w:rPr>
          <w:rFonts w:asciiTheme="minorHAnsi" w:hAnsiTheme="minorHAnsi" w:cstheme="minorHAnsi"/>
          <w:sz w:val="22"/>
          <w:szCs w:val="22"/>
        </w:rPr>
      </w:pPr>
      <w:r>
        <w:rPr>
          <w:rFonts w:asciiTheme="minorHAnsi" w:hAnsiTheme="minorHAnsi" w:cstheme="minorHAnsi"/>
          <w:sz w:val="22"/>
          <w:szCs w:val="22"/>
          <w:u w:val="single"/>
        </w:rPr>
        <w:t xml:space="preserve">7. Approbation, avis et signature du </w:t>
      </w:r>
      <w:r>
        <w:rPr>
          <w:rFonts w:asciiTheme="minorHAnsi" w:hAnsiTheme="minorHAnsi" w:cstheme="minorHAnsi"/>
          <w:b/>
          <w:sz w:val="22"/>
          <w:szCs w:val="22"/>
          <w:u w:val="single"/>
        </w:rPr>
        <w:t>rapport de suivi du PGAED</w:t>
      </w:r>
      <w:r>
        <w:rPr>
          <w:rFonts w:asciiTheme="minorHAnsi" w:hAnsiTheme="minorHAnsi" w:cstheme="minorHAnsi"/>
          <w:sz w:val="22"/>
          <w:szCs w:val="22"/>
          <w:u w:val="single"/>
        </w:rPr>
        <w:t xml:space="preserve"> (à remplir pour le 30 juin</w:t>
      </w:r>
      <w:r>
        <w:rPr>
          <w:rStyle w:val="Appelnotedebasdep"/>
          <w:rFonts w:asciiTheme="minorHAnsi" w:hAnsiTheme="minorHAnsi" w:cstheme="minorHAnsi"/>
          <w:sz w:val="22"/>
          <w:szCs w:val="22"/>
          <w:u w:val="single"/>
        </w:rPr>
        <w:footnoteReference w:id="15"/>
      </w:r>
      <w:r>
        <w:rPr>
          <w:rFonts w:asciiTheme="minorHAnsi" w:hAnsiTheme="minorHAnsi" w:cstheme="minorHAnsi"/>
          <w:sz w:val="22"/>
          <w:szCs w:val="22"/>
          <w:u w:val="single"/>
        </w:rPr>
        <w:t xml:space="preserve"> de l’année scolaire concernée)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tc>
          <w:tcPr>
            <w:tcW w:w="9212" w:type="dxa"/>
            <w:shd w:val="clear" w:color="auto" w:fill="D9D9D9" w:themeFill="background1" w:themeFillShade="D9"/>
          </w:tcPr>
          <w:p>
            <w:pPr>
              <w:rPr>
                <w:rFonts w:asciiTheme="minorHAnsi" w:hAnsiTheme="minorHAnsi" w:cstheme="minorHAnsi"/>
                <w:sz w:val="22"/>
                <w:szCs w:val="22"/>
              </w:rPr>
            </w:pPr>
            <w:r>
              <w:rPr>
                <w:rFonts w:asciiTheme="minorHAnsi" w:hAnsiTheme="minorHAnsi" w:cstheme="minorHAnsi"/>
                <w:sz w:val="22"/>
                <w:szCs w:val="22"/>
              </w:rPr>
              <w:t>Date, nom et signature du Chef d’établissement de l’implantation concernée</w:t>
            </w:r>
          </w:p>
          <w:p>
            <w:pPr>
              <w:rPr>
                <w:rFonts w:asciiTheme="minorHAnsi" w:hAnsiTheme="minorHAnsi" w:cstheme="minorHAnsi"/>
                <w:sz w:val="22"/>
                <w:szCs w:val="22"/>
              </w:rPr>
            </w:pPr>
          </w:p>
          <w:p>
            <w:pPr>
              <w:rPr>
                <w:rFonts w:asciiTheme="minorHAnsi" w:hAnsiTheme="minorHAnsi" w:cstheme="minorHAnsi"/>
                <w:sz w:val="22"/>
                <w:szCs w:val="22"/>
              </w:rPr>
            </w:pPr>
          </w:p>
          <w:p>
            <w:pPr>
              <w:rPr>
                <w:rFonts w:asciiTheme="minorHAnsi" w:hAnsiTheme="minorHAnsi" w:cstheme="minorHAnsi"/>
                <w:sz w:val="22"/>
                <w:szCs w:val="22"/>
              </w:rPr>
            </w:pPr>
          </w:p>
        </w:tc>
      </w:tr>
      <w:tr>
        <w:tc>
          <w:tcPr>
            <w:tcW w:w="9212" w:type="dxa"/>
            <w:shd w:val="clear" w:color="auto" w:fill="D9D9D9" w:themeFill="background1" w:themeFillShade="D9"/>
          </w:tcPr>
          <w:p>
            <w:pPr>
              <w:rPr>
                <w:rFonts w:asciiTheme="minorHAnsi" w:hAnsiTheme="minorHAnsi" w:cstheme="minorHAnsi"/>
                <w:sz w:val="22"/>
                <w:szCs w:val="22"/>
              </w:rPr>
            </w:pPr>
            <w:r>
              <w:rPr>
                <w:rFonts w:asciiTheme="minorHAnsi" w:hAnsiTheme="minorHAnsi" w:cstheme="minorHAnsi"/>
                <w:sz w:val="22"/>
                <w:szCs w:val="22"/>
              </w:rPr>
              <w:t>Date, nom, qualité et signature du représentant du Pouvoir organisateur (pour les établissements d’enseignement subventionné)</w:t>
            </w:r>
          </w:p>
          <w:p>
            <w:pPr>
              <w:rPr>
                <w:rFonts w:asciiTheme="minorHAnsi" w:hAnsiTheme="minorHAnsi" w:cstheme="minorHAnsi"/>
                <w:sz w:val="22"/>
                <w:szCs w:val="22"/>
              </w:rPr>
            </w:pPr>
          </w:p>
          <w:p>
            <w:pPr>
              <w:rPr>
                <w:rFonts w:asciiTheme="minorHAnsi" w:hAnsiTheme="minorHAnsi" w:cstheme="minorHAnsi"/>
                <w:sz w:val="22"/>
                <w:szCs w:val="22"/>
              </w:rPr>
            </w:pPr>
          </w:p>
          <w:p>
            <w:pPr>
              <w:rPr>
                <w:rFonts w:asciiTheme="minorHAnsi" w:hAnsiTheme="minorHAnsi" w:cstheme="minorHAnsi"/>
                <w:sz w:val="22"/>
                <w:szCs w:val="22"/>
              </w:rPr>
            </w:pPr>
          </w:p>
        </w:tc>
      </w:tr>
      <w:tr>
        <w:tc>
          <w:tcPr>
            <w:tcW w:w="9212" w:type="dxa"/>
            <w:shd w:val="clear" w:color="auto" w:fill="D9D9D9" w:themeFill="background1" w:themeFillShade="D9"/>
          </w:tcPr>
          <w:p>
            <w:pPr>
              <w:rPr>
                <w:rFonts w:asciiTheme="minorHAnsi" w:hAnsiTheme="minorHAnsi" w:cstheme="minorHAnsi"/>
                <w:sz w:val="22"/>
                <w:szCs w:val="22"/>
              </w:rPr>
            </w:pPr>
            <w:r>
              <w:rPr>
                <w:rFonts w:asciiTheme="minorHAnsi" w:hAnsiTheme="minorHAnsi" w:cstheme="minorHAnsi"/>
                <w:sz w:val="22"/>
                <w:szCs w:val="22"/>
              </w:rPr>
              <w:t>Date, noms et signatures du Secrétaire et du Président du Conseil de Participation + Extrait de l’avis du Conseil de Participation à annexer</w:t>
            </w:r>
          </w:p>
          <w:p>
            <w:pPr>
              <w:rPr>
                <w:rFonts w:asciiTheme="minorHAnsi" w:hAnsiTheme="minorHAnsi" w:cstheme="minorHAnsi"/>
                <w:sz w:val="22"/>
                <w:szCs w:val="22"/>
              </w:rPr>
            </w:pPr>
          </w:p>
          <w:p>
            <w:pPr>
              <w:rPr>
                <w:rFonts w:asciiTheme="minorHAnsi" w:hAnsiTheme="minorHAnsi" w:cstheme="minorHAnsi"/>
                <w:sz w:val="22"/>
                <w:szCs w:val="22"/>
              </w:rPr>
            </w:pPr>
          </w:p>
          <w:p>
            <w:pPr>
              <w:rPr>
                <w:rFonts w:asciiTheme="minorHAnsi" w:hAnsiTheme="minorHAnsi" w:cstheme="minorHAnsi"/>
                <w:sz w:val="22"/>
                <w:szCs w:val="22"/>
              </w:rPr>
            </w:pPr>
          </w:p>
          <w:p>
            <w:pPr>
              <w:rPr>
                <w:rFonts w:asciiTheme="minorHAnsi" w:hAnsiTheme="minorHAnsi" w:cstheme="minorHAnsi"/>
                <w:sz w:val="22"/>
                <w:szCs w:val="22"/>
              </w:rPr>
            </w:pPr>
          </w:p>
          <w:p>
            <w:pPr>
              <w:rPr>
                <w:rFonts w:asciiTheme="minorHAnsi" w:hAnsiTheme="minorHAnsi" w:cstheme="minorHAnsi"/>
                <w:sz w:val="22"/>
                <w:szCs w:val="22"/>
              </w:rPr>
            </w:pPr>
          </w:p>
        </w:tc>
      </w:tr>
      <w:tr>
        <w:tc>
          <w:tcPr>
            <w:tcW w:w="9212" w:type="dxa"/>
            <w:shd w:val="clear" w:color="auto" w:fill="D9D9D9" w:themeFill="background1" w:themeFillShade="D9"/>
          </w:tcPr>
          <w:p>
            <w:pPr>
              <w:rPr>
                <w:rFonts w:asciiTheme="minorHAnsi" w:hAnsiTheme="minorHAnsi" w:cstheme="minorHAnsi"/>
                <w:sz w:val="22"/>
                <w:szCs w:val="22"/>
              </w:rPr>
            </w:pPr>
            <w:r>
              <w:rPr>
                <w:rFonts w:asciiTheme="minorHAnsi" w:hAnsiTheme="minorHAnsi" w:cstheme="minorHAnsi"/>
                <w:sz w:val="22"/>
                <w:szCs w:val="22"/>
              </w:rPr>
              <w:t>Avis de l’Organe de concertation (COPALOC – COCOBA – CE – CPPT à défaut DS) :</w:t>
            </w:r>
          </w:p>
          <w:p>
            <w:pPr>
              <w:rPr>
                <w:rFonts w:asciiTheme="minorHAnsi" w:hAnsiTheme="minorHAnsi" w:cstheme="minorHAnsi"/>
                <w:sz w:val="22"/>
                <w:szCs w:val="22"/>
              </w:rPr>
            </w:pPr>
          </w:p>
          <w:p>
            <w:pPr>
              <w:rPr>
                <w:rFonts w:asciiTheme="minorHAnsi" w:hAnsiTheme="minorHAnsi" w:cstheme="minorHAnsi"/>
                <w:sz w:val="22"/>
                <w:szCs w:val="22"/>
              </w:rPr>
            </w:pPr>
          </w:p>
          <w:p>
            <w:pPr>
              <w:rPr>
                <w:rFonts w:asciiTheme="minorHAnsi" w:hAnsiTheme="minorHAnsi" w:cstheme="minorHAnsi"/>
                <w:sz w:val="22"/>
                <w:szCs w:val="22"/>
              </w:rPr>
            </w:pPr>
          </w:p>
          <w:p>
            <w:pPr>
              <w:rPr>
                <w:rFonts w:asciiTheme="minorHAnsi" w:hAnsiTheme="minorHAnsi" w:cstheme="minorHAnsi"/>
                <w:sz w:val="22"/>
                <w:szCs w:val="22"/>
              </w:rPr>
            </w:pPr>
          </w:p>
        </w:tc>
      </w:tr>
    </w:tbl>
    <w:p>
      <w:pPr>
        <w:rPr>
          <w:rFonts w:asciiTheme="minorHAnsi" w:hAnsiTheme="minorHAnsi" w:cstheme="minorHAnsi"/>
          <w:sz w:val="22"/>
          <w:szCs w:val="22"/>
        </w:rPr>
        <w:sectPr>
          <w:footnotePr>
            <w:numRestart w:val="eachSect"/>
          </w:footnotePr>
          <w:pgSz w:w="11906" w:h="16838"/>
          <w:pgMar w:top="1418" w:right="1418" w:bottom="1276" w:left="1418" w:header="709" w:footer="419" w:gutter="0"/>
          <w:cols w:space="708"/>
          <w:docGrid w:linePitch="360"/>
        </w:sectPr>
      </w:pPr>
    </w:p>
    <w:p>
      <w:pPr>
        <w:spacing w:after="120"/>
        <w:jc w:val="both"/>
        <w:rPr>
          <w:rFonts w:asciiTheme="minorHAnsi" w:hAnsiTheme="minorHAnsi" w:cstheme="minorHAnsi"/>
          <w:b/>
          <w:szCs w:val="22"/>
        </w:rPr>
      </w:pPr>
      <w:r>
        <w:rPr>
          <w:rFonts w:asciiTheme="minorHAnsi" w:hAnsiTheme="minorHAnsi" w:cstheme="minorHAnsi"/>
          <w:b/>
          <w:szCs w:val="22"/>
        </w:rPr>
        <w:t>Annexe 2 : Transfert de périodes d’une implantation bénéficiaire de l’Encadrement Différencié à un Centre PMS ou à un établissement de l’ESAHR en application de l’article 9, §1</w:t>
      </w:r>
      <w:r>
        <w:rPr>
          <w:rFonts w:asciiTheme="minorHAnsi" w:hAnsiTheme="minorHAnsi" w:cstheme="minorHAnsi"/>
          <w:b/>
          <w:szCs w:val="22"/>
          <w:vertAlign w:val="superscript"/>
        </w:rPr>
        <w:t>er</w:t>
      </w:r>
      <w:r>
        <w:rPr>
          <w:rFonts w:asciiTheme="minorHAnsi" w:hAnsiTheme="minorHAnsi" w:cstheme="minorHAnsi"/>
          <w:b/>
          <w:szCs w:val="22"/>
        </w:rPr>
        <w:t xml:space="preserve">, 5 ° et 9 ° du décret du 30 avril 2009 organisant un encadrement différencié au sein des établissements scolaires de la Communauté française afin d'assurer à chaque élève des chances égales d'émancipation sociale dans un environnement pédagogique de qualité </w:t>
      </w:r>
    </w:p>
    <w:p>
      <w:pPr>
        <w:spacing w:after="120"/>
        <w:jc w:val="center"/>
        <w:rPr>
          <w:rFonts w:asciiTheme="minorHAnsi" w:hAnsiTheme="minorHAnsi" w:cstheme="minorHAnsi"/>
          <w:sz w:val="22"/>
          <w:szCs w:val="22"/>
        </w:rPr>
      </w:pPr>
      <w:r>
        <w:rPr>
          <w:rFonts w:asciiTheme="minorHAnsi" w:hAnsiTheme="minorHAnsi" w:cstheme="minorHAnsi"/>
          <w:sz w:val="22"/>
          <w:szCs w:val="22"/>
        </w:rPr>
        <w:t xml:space="preserve"> (1 formulaire à compléter par partenaire)</w:t>
      </w:r>
    </w:p>
    <w:p>
      <w:pPr>
        <w:jc w:val="center"/>
        <w:rPr>
          <w:rFonts w:asciiTheme="minorHAnsi" w:hAnsiTheme="minorHAnsi" w:cstheme="minorHAnsi"/>
          <w:b/>
          <w:szCs w:val="22"/>
        </w:rPr>
      </w:pPr>
      <w:r>
        <w:rPr>
          <w:rFonts w:asciiTheme="minorHAnsi" w:hAnsiTheme="minorHAnsi" w:cstheme="minorHAnsi"/>
          <w:b/>
          <w:szCs w:val="22"/>
        </w:rPr>
        <w:t>Secondaire ordinaire</w:t>
      </w:r>
    </w:p>
    <w:p>
      <w:pPr>
        <w:jc w:val="center"/>
        <w:rPr>
          <w:rFonts w:asciiTheme="minorHAnsi" w:hAnsiTheme="minorHAnsi" w:cstheme="minorHAnsi"/>
          <w:b/>
          <w:szCs w:val="22"/>
          <w:u w:val="single"/>
        </w:rPr>
      </w:pPr>
      <w:r>
        <w:rPr>
          <w:rFonts w:asciiTheme="minorHAnsi" w:hAnsiTheme="minorHAnsi" w:cstheme="minorHAnsi"/>
          <w:b/>
          <w:szCs w:val="22"/>
          <w:u w:val="single"/>
        </w:rPr>
        <w:t>Année scolaire 20… – 20…</w:t>
      </w:r>
    </w:p>
    <w:p>
      <w:pPr>
        <w:jc w:val="center"/>
        <w:rPr>
          <w:rFonts w:asciiTheme="minorHAnsi" w:hAnsiTheme="minorHAnsi" w:cstheme="minorHAnsi"/>
          <w:sz w:val="22"/>
          <w:szCs w:val="22"/>
          <w:u w:val="single"/>
        </w:rPr>
      </w:pPr>
    </w:p>
    <w:p>
      <w:pPr>
        <w:jc w:val="center"/>
        <w:rPr>
          <w:rFonts w:asciiTheme="minorHAnsi" w:hAnsiTheme="minorHAnsi" w:cstheme="minorHAnsi"/>
          <w:b/>
          <w:sz w:val="22"/>
          <w:szCs w:val="22"/>
          <w:lang w:eastAsia="en-US"/>
        </w:rPr>
      </w:pPr>
      <w:r>
        <w:rPr>
          <w:rFonts w:asciiTheme="minorHAnsi" w:hAnsiTheme="minorHAnsi" w:cstheme="minorHAnsi"/>
          <w:b/>
          <w:sz w:val="22"/>
          <w:szCs w:val="22"/>
          <w:lang w:eastAsia="en-US"/>
        </w:rPr>
        <w:t>Identification de l’établissement de l’enseignement ordinaire et de l’implantation concernée</w:t>
      </w:r>
    </w:p>
    <w:p>
      <w:pPr>
        <w:rPr>
          <w:rFonts w:asciiTheme="minorHAnsi" w:hAnsiTheme="minorHAnsi" w:cstheme="minorHAnsi"/>
          <w:b/>
          <w:sz w:val="22"/>
          <w:szCs w:val="22"/>
          <w:lang w:eastAsia="en-U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4"/>
        <w:gridCol w:w="4914"/>
      </w:tblGrid>
      <w:tr>
        <w:tc>
          <w:tcPr>
            <w:tcW w:w="4914" w:type="dxa"/>
            <w:shd w:val="clear" w:color="auto" w:fill="auto"/>
            <w:vAlign w:val="center"/>
          </w:tcPr>
          <w:p>
            <w:pPr>
              <w:pStyle w:val="Sansinterligne1"/>
              <w:spacing w:before="120" w:after="120"/>
              <w:rPr>
                <w:rFonts w:asciiTheme="minorHAnsi" w:hAnsiTheme="minorHAnsi" w:cstheme="minorHAnsi"/>
                <w:b/>
              </w:rPr>
            </w:pPr>
            <w:r>
              <w:rPr>
                <w:rFonts w:asciiTheme="minorHAnsi" w:hAnsiTheme="minorHAnsi" w:cstheme="minorHAnsi"/>
                <w:b/>
              </w:rPr>
              <w:t>Etablissement:</w:t>
            </w:r>
          </w:p>
          <w:p>
            <w:pPr>
              <w:pStyle w:val="Sansinterligne1"/>
              <w:spacing w:before="120" w:after="120"/>
              <w:rPr>
                <w:rFonts w:asciiTheme="minorHAnsi" w:hAnsiTheme="minorHAnsi" w:cstheme="minorHAnsi"/>
                <w:b/>
              </w:rPr>
            </w:pPr>
            <w:r>
              <w:rPr>
                <w:rFonts w:asciiTheme="minorHAnsi" w:hAnsiTheme="minorHAnsi" w:cstheme="minorHAnsi"/>
                <w:b/>
              </w:rPr>
              <w:t>N° FASE :……………………………………………………………….</w:t>
            </w:r>
          </w:p>
          <w:p>
            <w:pPr>
              <w:pStyle w:val="Sansinterligne1"/>
              <w:spacing w:before="120" w:after="120"/>
              <w:rPr>
                <w:rFonts w:asciiTheme="minorHAnsi" w:hAnsiTheme="minorHAnsi" w:cstheme="minorHAnsi"/>
                <w:b/>
              </w:rPr>
            </w:pPr>
            <w:r>
              <w:rPr>
                <w:rFonts w:asciiTheme="minorHAnsi" w:hAnsiTheme="minorHAnsi" w:cstheme="minorHAnsi"/>
                <w:b/>
              </w:rPr>
              <w:t>Dénomination :…………………………………………………….</w:t>
            </w:r>
          </w:p>
          <w:p>
            <w:pPr>
              <w:pStyle w:val="Sansinterligne1"/>
              <w:spacing w:before="120" w:after="120"/>
              <w:ind w:firstLine="851"/>
              <w:rPr>
                <w:rFonts w:asciiTheme="minorHAnsi" w:hAnsiTheme="minorHAnsi" w:cstheme="minorHAnsi"/>
                <w:b/>
              </w:rPr>
            </w:pPr>
            <w:r>
              <w:rPr>
                <w:rFonts w:asciiTheme="minorHAnsi" w:hAnsiTheme="minorHAnsi" w:cstheme="minorHAnsi"/>
                <w:b/>
              </w:rPr>
              <w:t xml:space="preserve"> ………………………………………………………………</w:t>
            </w:r>
          </w:p>
          <w:p>
            <w:pPr>
              <w:pStyle w:val="Sansinterligne1"/>
              <w:spacing w:before="120" w:after="120"/>
              <w:rPr>
                <w:rFonts w:asciiTheme="minorHAnsi" w:hAnsiTheme="minorHAnsi" w:cstheme="minorHAnsi"/>
                <w:b/>
              </w:rPr>
            </w:pPr>
            <w:r>
              <w:rPr>
                <w:rFonts w:asciiTheme="minorHAnsi" w:hAnsiTheme="minorHAnsi" w:cstheme="minorHAnsi"/>
                <w:b/>
              </w:rPr>
              <w:t>Adresse :………………………………………………………………</w:t>
            </w:r>
          </w:p>
          <w:p>
            <w:pPr>
              <w:pStyle w:val="Sansinterligne1"/>
              <w:spacing w:before="120" w:after="120"/>
              <w:ind w:firstLine="851"/>
              <w:rPr>
                <w:rFonts w:asciiTheme="minorHAnsi" w:hAnsiTheme="minorHAnsi" w:cstheme="minorHAnsi"/>
                <w:b/>
              </w:rPr>
            </w:pPr>
            <w:r>
              <w:rPr>
                <w:rFonts w:asciiTheme="minorHAnsi" w:hAnsiTheme="minorHAnsi" w:cstheme="minorHAnsi"/>
                <w:b/>
              </w:rPr>
              <w:t xml:space="preserve"> ………………………………………………………………</w:t>
            </w:r>
          </w:p>
        </w:tc>
        <w:tc>
          <w:tcPr>
            <w:tcW w:w="4914" w:type="dxa"/>
            <w:shd w:val="clear" w:color="auto" w:fill="auto"/>
          </w:tcPr>
          <w:p>
            <w:pPr>
              <w:pStyle w:val="Sansinterligne1"/>
              <w:spacing w:before="120" w:after="120"/>
              <w:rPr>
                <w:rFonts w:asciiTheme="minorHAnsi" w:hAnsiTheme="minorHAnsi" w:cstheme="minorHAnsi"/>
                <w:b/>
              </w:rPr>
            </w:pPr>
            <w:r>
              <w:rPr>
                <w:rFonts w:asciiTheme="minorHAnsi" w:hAnsiTheme="minorHAnsi" w:cstheme="minorHAnsi"/>
                <w:b/>
              </w:rPr>
              <w:t>Implantation bénéficiaire de l’Encadrement Différencié :</w:t>
            </w:r>
          </w:p>
          <w:p>
            <w:pPr>
              <w:pStyle w:val="Sansinterligne1"/>
              <w:spacing w:before="120" w:after="120"/>
              <w:rPr>
                <w:rFonts w:asciiTheme="minorHAnsi" w:hAnsiTheme="minorHAnsi" w:cstheme="minorHAnsi"/>
                <w:b/>
              </w:rPr>
            </w:pPr>
            <w:r>
              <w:rPr>
                <w:rFonts w:asciiTheme="minorHAnsi" w:hAnsiTheme="minorHAnsi" w:cstheme="minorHAnsi"/>
                <w:b/>
              </w:rPr>
              <w:t>N° FASE :………………………………………………………………</w:t>
            </w:r>
          </w:p>
          <w:p>
            <w:pPr>
              <w:pStyle w:val="Sansinterligne1"/>
              <w:spacing w:before="120" w:after="120"/>
              <w:rPr>
                <w:rFonts w:asciiTheme="minorHAnsi" w:hAnsiTheme="minorHAnsi" w:cstheme="minorHAnsi"/>
                <w:b/>
              </w:rPr>
            </w:pPr>
            <w:r>
              <w:rPr>
                <w:rFonts w:asciiTheme="minorHAnsi" w:hAnsiTheme="minorHAnsi" w:cstheme="minorHAnsi"/>
                <w:b/>
              </w:rPr>
              <w:t>Adresse :……………………………………………………………..</w:t>
            </w:r>
          </w:p>
          <w:p>
            <w:pPr>
              <w:pStyle w:val="Sansinterligne1"/>
              <w:spacing w:before="120" w:after="120"/>
              <w:ind w:firstLine="806"/>
              <w:rPr>
                <w:rFonts w:asciiTheme="minorHAnsi" w:hAnsiTheme="minorHAnsi" w:cstheme="minorHAnsi"/>
                <w:b/>
              </w:rPr>
            </w:pPr>
            <w:r>
              <w:rPr>
                <w:rFonts w:asciiTheme="minorHAnsi" w:hAnsiTheme="minorHAnsi" w:cstheme="minorHAnsi"/>
                <w:b/>
              </w:rPr>
              <w:t xml:space="preserve"> ………………………………………………………………</w:t>
            </w:r>
          </w:p>
        </w:tc>
      </w:tr>
      <w:tr>
        <w:trPr>
          <w:trHeight w:val="567"/>
        </w:trPr>
        <w:tc>
          <w:tcPr>
            <w:tcW w:w="9828" w:type="dxa"/>
            <w:gridSpan w:val="2"/>
            <w:shd w:val="clear" w:color="auto" w:fill="auto"/>
          </w:tcPr>
          <w:p>
            <w:pPr>
              <w:pStyle w:val="Sansinterligne1"/>
              <w:spacing w:before="120"/>
              <w:rPr>
                <w:rFonts w:asciiTheme="minorHAnsi" w:hAnsiTheme="minorHAnsi" w:cstheme="minorHAnsi"/>
              </w:rPr>
            </w:pPr>
            <w:r>
              <w:rPr>
                <w:rFonts w:asciiTheme="minorHAnsi" w:hAnsiTheme="minorHAnsi" w:cstheme="minorHAnsi"/>
              </w:rPr>
              <w:t>Nombre de périodes cédées :…………………………</w:t>
            </w:r>
          </w:p>
        </w:tc>
      </w:tr>
    </w:tbl>
    <w:p>
      <w:pPr>
        <w:rPr>
          <w:rFonts w:asciiTheme="minorHAnsi" w:hAnsiTheme="minorHAnsi" w:cstheme="minorHAnsi"/>
          <w:b/>
          <w:sz w:val="22"/>
          <w:szCs w:val="22"/>
          <w:lang w:eastAsia="en-US"/>
        </w:rPr>
      </w:pPr>
    </w:p>
    <w:p>
      <w:pPr>
        <w:rPr>
          <w:rFonts w:asciiTheme="minorHAnsi" w:hAnsiTheme="minorHAnsi" w:cstheme="minorHAnsi"/>
          <w:b/>
          <w:sz w:val="22"/>
          <w:szCs w:val="22"/>
          <w:lang w:eastAsia="en-US"/>
        </w:rPr>
      </w:pPr>
      <w:r>
        <w:rPr>
          <w:rFonts w:asciiTheme="minorHAnsi" w:hAnsiTheme="minorHAnsi" w:cstheme="minorHAnsi"/>
          <w:b/>
          <w:sz w:val="22"/>
          <w:szCs w:val="22"/>
          <w:lang w:eastAsia="en-US"/>
        </w:rPr>
        <w:t>Identification du bénéficiaire (cocher une seule case) :</w:t>
      </w:r>
    </w:p>
    <w:p>
      <w:pPr>
        <w:spacing w:before="120"/>
        <w:ind w:left="794"/>
        <w:rPr>
          <w:rFonts w:asciiTheme="minorHAnsi" w:hAnsiTheme="minorHAnsi" w:cstheme="minorHAnsi"/>
          <w:b/>
          <w:sz w:val="22"/>
          <w:szCs w:val="22"/>
          <w:lang w:eastAsia="en-US"/>
        </w:rPr>
      </w:pPr>
      <w:r>
        <w:rPr>
          <w:rFonts w:asciiTheme="minorHAnsi" w:hAnsiTheme="minorHAnsi" w:cstheme="minorHAnsi"/>
          <w:b/>
          <w:szCs w:val="22"/>
        </w:rPr>
        <w:sym w:font="Wingdings" w:char="F0A8"/>
      </w:r>
      <w:r>
        <w:rPr>
          <w:rFonts w:asciiTheme="minorHAnsi" w:hAnsiTheme="minorHAnsi" w:cstheme="minorHAnsi"/>
          <w:b/>
          <w:szCs w:val="22"/>
        </w:rPr>
        <w:t xml:space="preserve"> </w:t>
      </w:r>
      <w:r>
        <w:rPr>
          <w:rFonts w:asciiTheme="minorHAnsi" w:hAnsiTheme="minorHAnsi" w:cstheme="minorHAnsi"/>
          <w:b/>
          <w:sz w:val="22"/>
          <w:szCs w:val="22"/>
          <w:lang w:eastAsia="en-US"/>
        </w:rPr>
        <w:t>Centre PMS</w:t>
      </w:r>
    </w:p>
    <w:p>
      <w:pPr>
        <w:spacing w:before="240"/>
        <w:ind w:left="794"/>
        <w:rPr>
          <w:rFonts w:asciiTheme="minorHAnsi" w:hAnsiTheme="minorHAnsi" w:cstheme="minorHAnsi"/>
          <w:b/>
          <w:sz w:val="22"/>
          <w:szCs w:val="22"/>
          <w:lang w:eastAsia="en-US"/>
        </w:rPr>
      </w:pPr>
      <w:r>
        <w:rPr>
          <w:rFonts w:asciiTheme="minorHAnsi" w:hAnsiTheme="minorHAnsi" w:cstheme="minorHAnsi"/>
          <w:b/>
          <w:szCs w:val="22"/>
        </w:rPr>
        <w:sym w:font="Wingdings" w:char="F0A8"/>
      </w:r>
      <w:r>
        <w:rPr>
          <w:rFonts w:asciiTheme="minorHAnsi" w:hAnsiTheme="minorHAnsi" w:cstheme="minorHAnsi"/>
          <w:b/>
          <w:sz w:val="22"/>
          <w:szCs w:val="22"/>
        </w:rPr>
        <w:t xml:space="preserve"> </w:t>
      </w:r>
      <w:r>
        <w:rPr>
          <w:rFonts w:asciiTheme="minorHAnsi" w:hAnsiTheme="minorHAnsi" w:cstheme="minorHAnsi"/>
          <w:b/>
          <w:sz w:val="22"/>
          <w:szCs w:val="22"/>
          <w:lang w:eastAsia="en-US"/>
        </w:rPr>
        <w:t>Etablissement de l’ESAHR</w:t>
      </w:r>
    </w:p>
    <w:p>
      <w:pPr>
        <w:spacing w:before="120"/>
        <w:rPr>
          <w:rFonts w:asciiTheme="minorHAnsi" w:hAnsiTheme="minorHAnsi" w:cstheme="minorHAnsi"/>
          <w:b/>
          <w:sz w:val="22"/>
          <w:szCs w:val="22"/>
          <w:lang w:eastAsia="en-US"/>
        </w:rPr>
      </w:pPr>
      <w:r>
        <w:rPr>
          <w:rFonts w:asciiTheme="minorHAnsi" w:hAnsiTheme="minorHAnsi" w:cstheme="minorHAnsi"/>
          <w:b/>
          <w:sz w:val="22"/>
          <w:szCs w:val="22"/>
          <w:lang w:eastAsia="en-US"/>
        </w:rPr>
        <w:t>N° FASE :………………......</w:t>
      </w:r>
    </w:p>
    <w:p>
      <w:pPr>
        <w:rPr>
          <w:rFonts w:asciiTheme="minorHAnsi" w:hAnsiTheme="minorHAnsi" w:cstheme="minorHAnsi"/>
          <w:b/>
          <w:sz w:val="22"/>
          <w:szCs w:val="22"/>
          <w:lang w:eastAsia="en-US"/>
        </w:rPr>
      </w:pPr>
    </w:p>
    <w:p>
      <w:pPr>
        <w:rPr>
          <w:rFonts w:asciiTheme="minorHAnsi" w:hAnsiTheme="minorHAnsi" w:cstheme="minorHAnsi"/>
          <w:b/>
          <w:sz w:val="22"/>
          <w:szCs w:val="22"/>
          <w:lang w:eastAsia="en-US"/>
        </w:rPr>
      </w:pPr>
      <w:r>
        <w:rPr>
          <w:rFonts w:asciiTheme="minorHAnsi" w:hAnsiTheme="minorHAnsi" w:cstheme="minorHAnsi"/>
          <w:b/>
          <w:sz w:val="22"/>
          <w:szCs w:val="22"/>
          <w:lang w:eastAsia="en-US"/>
        </w:rPr>
        <w:t>Dénomination :…………………………………………………………………………………………..</w:t>
      </w:r>
    </w:p>
    <w:p>
      <w:pPr>
        <w:rPr>
          <w:rFonts w:asciiTheme="minorHAnsi" w:hAnsiTheme="minorHAnsi" w:cstheme="minorHAnsi"/>
          <w:b/>
          <w:sz w:val="22"/>
          <w:szCs w:val="22"/>
          <w:lang w:eastAsia="en-US"/>
        </w:rPr>
      </w:pPr>
    </w:p>
    <w:p>
      <w:pPr>
        <w:rPr>
          <w:rFonts w:asciiTheme="minorHAnsi" w:hAnsiTheme="minorHAnsi" w:cstheme="minorHAnsi"/>
          <w:b/>
          <w:sz w:val="22"/>
          <w:szCs w:val="22"/>
          <w:lang w:eastAsia="en-US"/>
        </w:rPr>
      </w:pPr>
      <w:r>
        <w:rPr>
          <w:rFonts w:asciiTheme="minorHAnsi" w:hAnsiTheme="minorHAnsi" w:cstheme="minorHAnsi"/>
          <w:b/>
          <w:sz w:val="22"/>
          <w:szCs w:val="22"/>
          <w:lang w:eastAsia="en-US"/>
        </w:rPr>
        <w:t>Adresse :…………………………………………………………………………………………………….</w:t>
      </w:r>
    </w:p>
    <w:p>
      <w:pPr>
        <w:rPr>
          <w:rFonts w:asciiTheme="minorHAnsi" w:hAnsiTheme="minorHAnsi" w:cstheme="minorHAnsi"/>
          <w:b/>
          <w:sz w:val="22"/>
          <w:szCs w:val="22"/>
          <w:lang w:eastAsia="en-US"/>
        </w:rPr>
      </w:pPr>
    </w:p>
    <w:p>
      <w:pPr>
        <w:rPr>
          <w:rFonts w:asciiTheme="minorHAnsi" w:hAnsiTheme="minorHAnsi" w:cstheme="minorHAnsi"/>
          <w:b/>
          <w:sz w:val="22"/>
          <w:szCs w:val="22"/>
          <w:lang w:eastAsia="en-US"/>
        </w:rPr>
      </w:pPr>
    </w:p>
    <w:p>
      <w:pPr>
        <w:rPr>
          <w:rFonts w:asciiTheme="minorHAnsi" w:hAnsiTheme="minorHAnsi" w:cstheme="minorHAnsi"/>
          <w:sz w:val="22"/>
          <w:szCs w:val="22"/>
        </w:rPr>
      </w:pPr>
      <w:r>
        <w:rPr>
          <w:rFonts w:asciiTheme="minorHAnsi" w:hAnsiTheme="minorHAnsi" w:cstheme="minorHAnsi"/>
          <w:sz w:val="22"/>
          <w:szCs w:val="22"/>
        </w:rPr>
        <w:t>Je déclare sur l’honneur que les informations reprises ci-dessus sont sincères et exactes.</w:t>
      </w:r>
    </w:p>
    <w:p>
      <w:pPr>
        <w:pStyle w:val="Sansinterligne1"/>
        <w:spacing w:before="120"/>
        <w:jc w:val="both"/>
        <w:rPr>
          <w:rFonts w:asciiTheme="minorHAnsi" w:hAnsiTheme="minorHAnsi" w:cstheme="minorHAnsi"/>
        </w:rPr>
      </w:pPr>
      <w:r>
        <w:rPr>
          <w:rFonts w:asciiTheme="minorHAnsi" w:hAnsiTheme="minorHAnsi" w:cstheme="minorHAnsi"/>
        </w:rPr>
        <w:t>Signature du Pouvoir organisateur (OS – LS) ou du Chef d’établissement (FWB)</w:t>
      </w:r>
      <w:r>
        <w:rPr>
          <w:rStyle w:val="Appelnotedebasdep"/>
          <w:rFonts w:asciiTheme="minorHAnsi" w:hAnsiTheme="minorHAnsi" w:cstheme="minorHAnsi"/>
        </w:rPr>
        <w:footnoteReference w:id="16"/>
      </w:r>
      <w:r>
        <w:rPr>
          <w:rFonts w:asciiTheme="minorHAnsi" w:hAnsiTheme="minorHAnsi" w:cstheme="minorHAnsi"/>
        </w:rPr>
        <w:t> :</w:t>
      </w:r>
    </w:p>
    <w:tbl>
      <w:tblPr>
        <w:tblW w:w="0" w:type="auto"/>
        <w:tblBorders>
          <w:top w:val="single" w:sz="4" w:space="0" w:color="auto"/>
        </w:tblBorders>
        <w:tblLook w:val="01E0" w:firstRow="1" w:lastRow="1" w:firstColumn="1" w:lastColumn="1" w:noHBand="0" w:noVBand="0"/>
      </w:tblPr>
      <w:tblGrid>
        <w:gridCol w:w="4626"/>
        <w:gridCol w:w="4660"/>
      </w:tblGrid>
      <w:tr>
        <w:tc>
          <w:tcPr>
            <w:tcW w:w="4626" w:type="dxa"/>
            <w:tcBorders>
              <w:top w:val="single" w:sz="4" w:space="0" w:color="auto"/>
            </w:tcBorders>
          </w:tcPr>
          <w:p>
            <w:pPr>
              <w:pStyle w:val="Sansinterligne1"/>
              <w:spacing w:before="120"/>
              <w:jc w:val="both"/>
              <w:rPr>
                <w:rFonts w:asciiTheme="minorHAnsi" w:hAnsiTheme="minorHAnsi" w:cstheme="minorHAnsi"/>
                <w:b/>
              </w:rPr>
            </w:pPr>
            <w:r>
              <w:rPr>
                <w:rFonts w:asciiTheme="minorHAnsi" w:hAnsiTheme="minorHAnsi" w:cstheme="minorHAnsi"/>
                <w:b/>
              </w:rPr>
              <w:t>Date :</w:t>
            </w:r>
          </w:p>
        </w:tc>
        <w:tc>
          <w:tcPr>
            <w:tcW w:w="4660" w:type="dxa"/>
            <w:tcBorders>
              <w:top w:val="single" w:sz="4" w:space="0" w:color="auto"/>
            </w:tcBorders>
          </w:tcPr>
          <w:p>
            <w:pPr>
              <w:pStyle w:val="Sansinterligne1"/>
              <w:spacing w:before="120"/>
              <w:jc w:val="both"/>
              <w:rPr>
                <w:rFonts w:asciiTheme="minorHAnsi" w:hAnsiTheme="minorHAnsi" w:cstheme="minorHAnsi"/>
                <w:b/>
              </w:rPr>
            </w:pPr>
            <w:r>
              <w:rPr>
                <w:rFonts w:asciiTheme="minorHAnsi" w:hAnsiTheme="minorHAnsi" w:cstheme="minorHAnsi"/>
                <w:b/>
              </w:rPr>
              <w:t>Nom (en majuscules) et signature :</w:t>
            </w:r>
          </w:p>
          <w:p>
            <w:pPr>
              <w:pStyle w:val="Sansinterligne1"/>
              <w:spacing w:before="120"/>
              <w:jc w:val="both"/>
              <w:rPr>
                <w:rFonts w:asciiTheme="minorHAnsi" w:hAnsiTheme="minorHAnsi" w:cstheme="minorHAnsi"/>
                <w:b/>
              </w:rPr>
            </w:pPr>
          </w:p>
          <w:p>
            <w:pPr>
              <w:pStyle w:val="Sansinterligne1"/>
              <w:spacing w:before="120"/>
              <w:jc w:val="both"/>
              <w:rPr>
                <w:rFonts w:asciiTheme="minorHAnsi" w:hAnsiTheme="minorHAnsi" w:cstheme="minorHAnsi"/>
                <w:b/>
              </w:rPr>
            </w:pPr>
          </w:p>
          <w:p>
            <w:pPr>
              <w:pStyle w:val="Sansinterligne1"/>
              <w:spacing w:before="120"/>
              <w:jc w:val="both"/>
              <w:rPr>
                <w:rFonts w:asciiTheme="minorHAnsi" w:hAnsiTheme="minorHAnsi" w:cstheme="minorHAnsi"/>
                <w:b/>
              </w:rPr>
            </w:pPr>
          </w:p>
        </w:tc>
      </w:tr>
    </w:tbl>
    <w:p>
      <w:pPr>
        <w:pBdr>
          <w:top w:val="single" w:sz="4" w:space="1" w:color="auto"/>
        </w:pBdr>
        <w:rPr>
          <w:rFonts w:asciiTheme="minorHAnsi" w:hAnsiTheme="minorHAnsi" w:cstheme="minorHAnsi"/>
          <w:b/>
          <w:sz w:val="22"/>
          <w:szCs w:val="22"/>
          <w:lang w:eastAsia="en-US"/>
        </w:rPr>
      </w:pPr>
      <w:r>
        <w:rPr>
          <w:rFonts w:asciiTheme="minorHAnsi" w:hAnsiTheme="minorHAnsi" w:cstheme="minorHAnsi"/>
          <w:b/>
          <w:sz w:val="22"/>
          <w:szCs w:val="22"/>
          <w:lang w:eastAsia="en-US"/>
        </w:rPr>
        <w:t>A établir en deux exemplaires et à renvoyer :</w:t>
      </w:r>
    </w:p>
    <w:p>
      <w:pPr>
        <w:pBdr>
          <w:top w:val="single" w:sz="4" w:space="1" w:color="auto"/>
        </w:pBdr>
        <w:rPr>
          <w:rFonts w:asciiTheme="minorHAnsi" w:hAnsiTheme="minorHAnsi" w:cstheme="minorHAnsi"/>
          <w:b/>
          <w:sz w:val="22"/>
          <w:szCs w:val="22"/>
          <w:lang w:eastAsia="en-US"/>
        </w:rPr>
      </w:pPr>
      <w:r>
        <w:rPr>
          <w:rFonts w:asciiTheme="minorHAnsi" w:hAnsiTheme="minorHAnsi" w:cstheme="minorHAnsi"/>
          <w:b/>
          <w:sz w:val="22"/>
          <w:szCs w:val="22"/>
          <w:lang w:eastAsia="en-US"/>
        </w:rPr>
        <w:t>- au CPMS ou à l’établissement de l’ESAHR concerné,</w:t>
      </w:r>
    </w:p>
    <w:p>
      <w:pPr>
        <w:pBdr>
          <w:top w:val="single" w:sz="4" w:space="1" w:color="auto"/>
        </w:pBdr>
        <w:rPr>
          <w:rFonts w:asciiTheme="minorHAnsi" w:hAnsiTheme="minorHAnsi" w:cstheme="minorHAnsi"/>
          <w:b/>
          <w:sz w:val="22"/>
          <w:szCs w:val="22"/>
          <w:lang w:eastAsia="en-US"/>
        </w:rPr>
      </w:pPr>
      <w:r>
        <w:rPr>
          <w:rFonts w:asciiTheme="minorHAnsi" w:hAnsiTheme="minorHAnsi" w:cstheme="minorHAnsi"/>
          <w:b/>
          <w:sz w:val="22"/>
          <w:szCs w:val="22"/>
          <w:lang w:eastAsia="en-US"/>
        </w:rPr>
        <w:t xml:space="preserve">- à la </w:t>
      </w:r>
      <w:r>
        <w:rPr>
          <w:rFonts w:asciiTheme="minorHAnsi" w:hAnsiTheme="minorHAnsi" w:cstheme="minorHAnsi"/>
          <w:b/>
          <w:sz w:val="22"/>
          <w:szCs w:val="22"/>
          <w:lang w:eastAsia="en-US"/>
        </w:rPr>
        <w:tab/>
        <w:t xml:space="preserve">Direction Générale de l’Enseignement Obligatoire, </w:t>
      </w:r>
    </w:p>
    <w:p>
      <w:pPr>
        <w:pBdr>
          <w:top w:val="single" w:sz="4" w:space="1" w:color="auto"/>
        </w:pBdr>
        <w:rPr>
          <w:rFonts w:asciiTheme="minorHAnsi" w:hAnsiTheme="minorHAnsi" w:cstheme="minorHAnsi"/>
          <w:b/>
          <w:sz w:val="22"/>
          <w:szCs w:val="22"/>
          <w:lang w:eastAsia="en-US"/>
        </w:rPr>
      </w:pPr>
      <w:r>
        <w:rPr>
          <w:rFonts w:asciiTheme="minorHAnsi" w:hAnsiTheme="minorHAnsi" w:cstheme="minorHAnsi"/>
          <w:b/>
          <w:sz w:val="22"/>
          <w:szCs w:val="22"/>
          <w:lang w:eastAsia="en-US"/>
        </w:rPr>
        <w:t xml:space="preserve">      </w:t>
      </w:r>
      <w:r>
        <w:rPr>
          <w:rFonts w:asciiTheme="minorHAnsi" w:hAnsiTheme="minorHAnsi" w:cstheme="minorHAnsi"/>
          <w:b/>
          <w:sz w:val="22"/>
          <w:szCs w:val="22"/>
          <w:lang w:eastAsia="en-US"/>
        </w:rPr>
        <w:tab/>
        <w:t xml:space="preserve">Bureau 1F106 – Rue Adolphe </w:t>
      </w:r>
      <w:proofErr w:type="spellStart"/>
      <w:r>
        <w:rPr>
          <w:rFonts w:asciiTheme="minorHAnsi" w:hAnsiTheme="minorHAnsi" w:cstheme="minorHAnsi"/>
          <w:b/>
          <w:sz w:val="22"/>
          <w:szCs w:val="22"/>
          <w:lang w:eastAsia="en-US"/>
        </w:rPr>
        <w:t>Lavallée</w:t>
      </w:r>
      <w:proofErr w:type="spellEnd"/>
      <w:r>
        <w:rPr>
          <w:rFonts w:asciiTheme="minorHAnsi" w:hAnsiTheme="minorHAnsi" w:cstheme="minorHAnsi"/>
          <w:b/>
          <w:sz w:val="22"/>
          <w:szCs w:val="22"/>
          <w:lang w:eastAsia="en-US"/>
        </w:rPr>
        <w:t xml:space="preserve"> 1 </w:t>
      </w:r>
    </w:p>
    <w:p>
      <w:pPr>
        <w:pBdr>
          <w:top w:val="single" w:sz="4" w:space="1" w:color="auto"/>
        </w:pBdr>
        <w:rPr>
          <w:rFonts w:asciiTheme="minorHAnsi" w:hAnsiTheme="minorHAnsi" w:cstheme="minorHAnsi"/>
          <w:b/>
          <w:sz w:val="22"/>
          <w:szCs w:val="22"/>
          <w:lang w:eastAsia="en-US"/>
        </w:rPr>
      </w:pPr>
      <w:r>
        <w:rPr>
          <w:rFonts w:asciiTheme="minorHAnsi" w:hAnsiTheme="minorHAnsi" w:cstheme="minorHAnsi"/>
          <w:b/>
          <w:sz w:val="22"/>
          <w:szCs w:val="22"/>
          <w:lang w:eastAsia="en-US"/>
        </w:rPr>
        <w:t xml:space="preserve">        </w:t>
      </w:r>
      <w:r>
        <w:rPr>
          <w:rFonts w:asciiTheme="minorHAnsi" w:hAnsiTheme="minorHAnsi" w:cstheme="minorHAnsi"/>
          <w:b/>
          <w:sz w:val="22"/>
          <w:szCs w:val="22"/>
          <w:lang w:eastAsia="en-US"/>
        </w:rPr>
        <w:tab/>
        <w:t xml:space="preserve">1080 BRUXELLES. </w:t>
      </w:r>
      <w:bookmarkStart w:id="1" w:name="_GoBack"/>
      <w:bookmarkEnd w:id="1"/>
    </w:p>
    <w:sectPr>
      <w:footerReference w:type="default" r:id="rId18"/>
      <w:footnotePr>
        <w:numRestart w:val="eachSect"/>
      </w:foot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1920310"/>
      <w:docPartObj>
        <w:docPartGallery w:val="Page Numbers (Bottom of Page)"/>
        <w:docPartUnique/>
      </w:docPartObj>
    </w:sdtPr>
    <w:sdtContent>
      <w:p>
        <w:pPr>
          <w:pStyle w:val="Pieddepage"/>
          <w:jc w:val="right"/>
        </w:pPr>
      </w:p>
    </w:sdtContent>
  </w:sdt>
  <w:p>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cstheme="minorHAnsi"/>
        <w:sz w:val="22"/>
      </w:rPr>
      <w:id w:val="1958526375"/>
      <w:docPartObj>
        <w:docPartGallery w:val="Page Numbers (Bottom of Page)"/>
        <w:docPartUnique/>
      </w:docPartObj>
    </w:sdtPr>
    <w:sdtContent>
      <w:p>
        <w:pPr>
          <w:pStyle w:val="Pieddepage"/>
          <w:jc w:val="right"/>
          <w:rPr>
            <w:rFonts w:asciiTheme="minorHAnsi" w:hAnsiTheme="minorHAnsi" w:cstheme="minorHAnsi"/>
            <w:sz w:val="22"/>
          </w:rPr>
        </w:pPr>
        <w:r>
          <w:rPr>
            <w:rFonts w:asciiTheme="minorHAnsi" w:hAnsiTheme="minorHAnsi" w:cstheme="minorHAnsi"/>
            <w:sz w:val="22"/>
          </w:rPr>
          <w:fldChar w:fldCharType="begin"/>
        </w:r>
        <w:r>
          <w:rPr>
            <w:rFonts w:asciiTheme="minorHAnsi" w:hAnsiTheme="minorHAnsi" w:cstheme="minorHAnsi"/>
            <w:sz w:val="22"/>
          </w:rPr>
          <w:instrText>PAGE   \* MERGEFORMAT</w:instrText>
        </w:r>
        <w:r>
          <w:rPr>
            <w:rFonts w:asciiTheme="minorHAnsi" w:hAnsiTheme="minorHAnsi" w:cstheme="minorHAnsi"/>
            <w:sz w:val="22"/>
          </w:rPr>
          <w:fldChar w:fldCharType="separate"/>
        </w:r>
        <w:r>
          <w:rPr>
            <w:rFonts w:asciiTheme="minorHAnsi" w:hAnsiTheme="minorHAnsi" w:cstheme="minorHAnsi"/>
            <w:noProof/>
            <w:sz w:val="22"/>
          </w:rPr>
          <w:t>12</w:t>
        </w:r>
        <w:r>
          <w:rPr>
            <w:rFonts w:asciiTheme="minorHAnsi" w:hAnsiTheme="minorHAnsi" w:cstheme="minorHAnsi"/>
            <w:sz w:val="22"/>
          </w:rPr>
          <w:fldChar w:fldCharType="end"/>
        </w:r>
      </w:p>
    </w:sdtContent>
  </w:sdt>
  <w:p>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cstheme="minorHAnsi"/>
        <w:sz w:val="22"/>
        <w:szCs w:val="22"/>
      </w:rPr>
      <w:id w:val="-655845469"/>
      <w:docPartObj>
        <w:docPartGallery w:val="Page Numbers (Bottom of Page)"/>
        <w:docPartUnique/>
      </w:docPartObj>
    </w:sdtPr>
    <w:sdtContent>
      <w:p>
        <w:pPr>
          <w:pStyle w:val="Pieddepage"/>
          <w:jc w:val="right"/>
          <w:rPr>
            <w:rFonts w:asciiTheme="minorHAnsi" w:hAnsiTheme="minorHAnsi" w:cstheme="minorHAnsi"/>
            <w:sz w:val="22"/>
            <w:szCs w:val="22"/>
          </w:rPr>
        </w:pPr>
        <w:r>
          <w:rPr>
            <w:rFonts w:asciiTheme="minorHAnsi" w:hAnsiTheme="minorHAnsi" w:cstheme="minorHAnsi"/>
            <w:sz w:val="22"/>
            <w:szCs w:val="22"/>
          </w:rPr>
          <w:t xml:space="preserve">Annexe 1 - </w:t>
        </w:r>
        <w:r>
          <w:rPr>
            <w:rFonts w:asciiTheme="minorHAnsi" w:hAnsiTheme="minorHAnsi" w:cstheme="minorHAnsi"/>
            <w:sz w:val="22"/>
            <w:szCs w:val="22"/>
          </w:rPr>
          <w:fldChar w:fldCharType="begin"/>
        </w:r>
        <w:r>
          <w:rPr>
            <w:rFonts w:asciiTheme="minorHAnsi" w:hAnsiTheme="minorHAnsi" w:cstheme="minorHAnsi"/>
            <w:sz w:val="22"/>
            <w:szCs w:val="22"/>
          </w:rPr>
          <w:instrText>PAGE   \* MERGEFORMAT</w:instrText>
        </w:r>
        <w:r>
          <w:rPr>
            <w:rFonts w:asciiTheme="minorHAnsi" w:hAnsiTheme="minorHAnsi" w:cstheme="minorHAnsi"/>
            <w:sz w:val="22"/>
            <w:szCs w:val="22"/>
          </w:rPr>
          <w:fldChar w:fldCharType="separate"/>
        </w:r>
        <w:r>
          <w:rPr>
            <w:rFonts w:asciiTheme="minorHAnsi" w:hAnsiTheme="minorHAnsi" w:cstheme="minorHAnsi"/>
            <w:noProof/>
            <w:sz w:val="22"/>
            <w:szCs w:val="22"/>
          </w:rPr>
          <w:t>7</w:t>
        </w:r>
        <w:r>
          <w:rPr>
            <w:rFonts w:asciiTheme="minorHAnsi" w:hAnsiTheme="minorHAnsi" w:cstheme="minorHAnsi"/>
            <w:sz w:val="22"/>
            <w:szCs w:val="22"/>
          </w:rPr>
          <w:fldChar w:fldCharType="end"/>
        </w:r>
      </w:p>
    </w:sdtContent>
  </w:sdt>
  <w:p>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jc w:val="both"/>
      </w:pPr>
      <w:r>
        <w:rPr>
          <w:rStyle w:val="Appelnotedebasdep"/>
        </w:rPr>
        <w:footnoteRef/>
      </w:r>
      <w:r>
        <w:t xml:space="preserve"> </w:t>
      </w:r>
      <w:r>
        <w:rPr>
          <w:rFonts w:asciiTheme="minorHAnsi" w:hAnsiTheme="minorHAnsi" w:cs="Arial"/>
        </w:rPr>
        <w:t>Décret du 24 juillet 1997 définissant les missions prioritaires de l’enseignement fondamental et de l’enseignement secondaire et organisant les structures propres à les atteindre. Plus particulièrement, les objectifs visés aux articles 7, en particulier le point 4°, 10, 11, 12, 24 et 34.</w:t>
      </w:r>
      <w:r>
        <w:t xml:space="preserve">  </w:t>
      </w:r>
    </w:p>
    <w:p>
      <w:pPr>
        <w:pStyle w:val="Notedebasdepage"/>
        <w:rPr>
          <w:lang w:val="fr-BE"/>
        </w:rPr>
      </w:pPr>
    </w:p>
  </w:footnote>
  <w:footnote w:id="2">
    <w:p>
      <w:pPr>
        <w:pStyle w:val="Notedebasdepage"/>
        <w:jc w:val="both"/>
        <w:rPr>
          <w:lang w:val="fr-BE"/>
        </w:rPr>
      </w:pPr>
      <w:r>
        <w:rPr>
          <w:rStyle w:val="Appelnotedebasdep"/>
        </w:rPr>
        <w:footnoteRef/>
      </w:r>
      <w:r>
        <w:t xml:space="preserve"> </w:t>
      </w:r>
      <w:r>
        <w:rPr>
          <w:rFonts w:asciiTheme="minorHAnsi" w:hAnsiTheme="minorHAnsi" w:cstheme="minorHAnsi"/>
        </w:rPr>
        <w:t>À l’exception du classement pour l’année scolaire 2017-2018 effectué sur la base du comptage de la population scolaire du 15/01/2015.</w:t>
      </w:r>
    </w:p>
  </w:footnote>
  <w:footnote w:id="3">
    <w:p>
      <w:pPr>
        <w:pStyle w:val="Notedebasdepage"/>
        <w:jc w:val="both"/>
        <w:rPr>
          <w:lang w:val="fr-BE"/>
        </w:rPr>
      </w:pPr>
      <w:r>
        <w:rPr>
          <w:rStyle w:val="Appelnotedebasdep"/>
        </w:rPr>
        <w:footnoteRef/>
      </w:r>
      <w:r>
        <w:t xml:space="preserve"> </w:t>
      </w:r>
      <w:r>
        <w:rPr>
          <w:rFonts w:ascii="Calibri" w:hAnsi="Calibri" w:cs="Calibri"/>
          <w:lang w:val="fr-BE"/>
        </w:rPr>
        <w:t>Les coefficients d’ajustement sont calculés, d’une part pour le calcul des périodes, en divisant 13.686 périodes par la somme de l’ensemble des périodes destinées aux implantations bénéficiaires et, d’autre part pour le calcul des moyens financiers, en divisant 6.203.000 euros indexés par la somme de l’ensemble des moyens destinés aux implantations bénéficiaires.</w:t>
      </w:r>
    </w:p>
  </w:footnote>
  <w:footnote w:id="4">
    <w:p>
      <w:pPr>
        <w:pStyle w:val="Notedebasdepage"/>
        <w:jc w:val="both"/>
      </w:pPr>
      <w:r>
        <w:rPr>
          <w:rStyle w:val="Appelnotedebasdep"/>
        </w:rPr>
        <w:footnoteRef/>
      </w:r>
      <w:r>
        <w:t xml:space="preserve"> </w:t>
      </w:r>
      <w:r>
        <w:rPr>
          <w:rFonts w:ascii="Calibri" w:hAnsi="Calibri" w:cs="Calibri"/>
          <w:lang w:val="fr-BE"/>
        </w:rPr>
        <w:t>Le coefficient de proportionnalité est le rapport entre le nombre total de périodes complémentaires à répartir (13.686 périodes) et la somme des populations des implantations des classes 1 à 5 pondérées par les coefficients de classe.</w:t>
      </w:r>
    </w:p>
  </w:footnote>
  <w:footnote w:id="5">
    <w:p>
      <w:pPr>
        <w:pStyle w:val="Notedebasdepage"/>
        <w:jc w:val="both"/>
        <w:rPr>
          <w:rFonts w:ascii="Calibri" w:hAnsi="Calibri" w:cs="Calibri"/>
          <w:lang w:val="fr-BE"/>
        </w:rPr>
      </w:pPr>
      <w:r>
        <w:rPr>
          <w:rStyle w:val="Appelnotedebasdep"/>
        </w:rPr>
        <w:footnoteRef/>
      </w:r>
      <w:r>
        <w:t xml:space="preserve"> </w:t>
      </w:r>
      <w:r>
        <w:rPr>
          <w:rFonts w:ascii="Calibri" w:hAnsi="Calibri" w:cs="Calibri"/>
          <w:lang w:val="fr-BE"/>
        </w:rPr>
        <w:t>Le coefficient d’ajustement est le rapport entre le nombre total de périodes complémentaires à répartir (13.686 périodes) et la somme des périodes calculées pour les implantations bénéficiaires.</w:t>
      </w:r>
    </w:p>
  </w:footnote>
  <w:footnote w:id="6">
    <w:p>
      <w:pPr>
        <w:pStyle w:val="Notedebasdepage"/>
        <w:jc w:val="both"/>
        <w:rPr>
          <w:rFonts w:ascii="Calibri" w:hAnsi="Calibri" w:cs="Calibri"/>
          <w:lang w:val="fr-BE"/>
        </w:rPr>
      </w:pPr>
      <w:r>
        <w:rPr>
          <w:rStyle w:val="Appelnotedebasdep"/>
        </w:rPr>
        <w:footnoteRef/>
      </w:r>
      <w:r>
        <w:t xml:space="preserve"> </w:t>
      </w:r>
      <w:r>
        <w:rPr>
          <w:rFonts w:ascii="Calibri" w:hAnsi="Calibri" w:cs="Calibri"/>
          <w:lang w:val="fr-BE"/>
        </w:rPr>
        <w:t>Dans les exemples, les coefficients de proportionnalité et d’ajustement sont repris à titre indicatif. Ils peuvent évoluer d’une année à l’autre.</w:t>
      </w:r>
    </w:p>
    <w:p>
      <w:pPr>
        <w:pStyle w:val="Notedebasdepage"/>
      </w:pPr>
    </w:p>
  </w:footnote>
  <w:footnote w:id="7">
    <w:p>
      <w:pPr>
        <w:pStyle w:val="Notedebasdepage"/>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Article 7 bis du Décret du 30 avril 2009 tel que modifié.</w:t>
      </w:r>
    </w:p>
  </w:footnote>
  <w:footnote w:id="8">
    <w:p>
      <w:pPr>
        <w:pStyle w:val="Notedebasdepage"/>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lang w:val="fr-BE"/>
        </w:rPr>
        <w:t>La circulaire 5619 du 23/02/2016 est en cours de révision.</w:t>
      </w:r>
    </w:p>
  </w:footnote>
  <w:footnote w:id="9">
    <w:p>
      <w:pPr>
        <w:pStyle w:val="Notedebasdepage"/>
        <w:jc w:val="both"/>
        <w:rPr>
          <w:rFonts w:asciiTheme="minorHAnsi" w:hAnsiTheme="minorHAnsi" w:cstheme="minorHAnsi"/>
          <w:szCs w:val="18"/>
          <w:lang w:val="fr-BE"/>
        </w:rPr>
      </w:pPr>
      <w:r>
        <w:rPr>
          <w:rStyle w:val="Appelnotedebasdep"/>
          <w:rFonts w:asciiTheme="minorHAnsi" w:hAnsiTheme="minorHAnsi" w:cstheme="minorHAnsi"/>
          <w:szCs w:val="18"/>
        </w:rPr>
        <w:footnoteRef/>
      </w:r>
      <w:r>
        <w:rPr>
          <w:rFonts w:asciiTheme="minorHAnsi" w:hAnsiTheme="minorHAnsi" w:cstheme="minorHAnsi"/>
          <w:szCs w:val="18"/>
        </w:rPr>
        <w:t xml:space="preserve"> Article 10, §2 du Décret du 30 avril 2009 tel que modifié.</w:t>
      </w:r>
    </w:p>
  </w:footnote>
  <w:footnote w:id="10">
    <w:p>
      <w:pPr>
        <w:pStyle w:val="Notedebasdepage"/>
        <w:jc w:val="both"/>
      </w:pPr>
      <w:r>
        <w:rPr>
          <w:rStyle w:val="Appelnotedebasdep"/>
        </w:rPr>
        <w:footnoteRef/>
      </w:r>
      <w:r>
        <w:t xml:space="preserve"> </w:t>
      </w:r>
      <w:r>
        <w:rPr>
          <w:rFonts w:asciiTheme="minorHAnsi" w:hAnsiTheme="minorHAnsi" w:cstheme="minorHAnsi"/>
        </w:rPr>
        <w:t>L’annexe fera l’objet d’un arrêté du Gouvernement de la Communauté française, après concertation avec les représentants des Pouvoirs organisateurs et des organisations syndicales. Le modèle sera confirmé par une prochaine circulaire.</w:t>
      </w:r>
    </w:p>
  </w:footnote>
  <w:footnote w:id="11">
    <w:p>
      <w:pPr>
        <w:pStyle w:val="Notedebasdepage"/>
        <w:rPr>
          <w:rFonts w:asciiTheme="minorHAnsi" w:hAnsiTheme="minorHAnsi" w:cstheme="minorHAnsi"/>
        </w:rPr>
      </w:pPr>
      <w:r>
        <w:rPr>
          <w:rStyle w:val="Appelnotedebasdep"/>
        </w:rPr>
        <w:footnoteRef/>
      </w:r>
      <w:r>
        <w:t xml:space="preserve"> </w:t>
      </w:r>
      <w:r>
        <w:rPr>
          <w:rFonts w:asciiTheme="minorHAnsi" w:hAnsiTheme="minorHAnsi" w:cstheme="minorHAnsi"/>
        </w:rPr>
        <w:t>En 2017-2018, la date est fixée au 15 novembre 2017.</w:t>
      </w:r>
    </w:p>
  </w:footnote>
  <w:footnote w:id="12">
    <w:p>
      <w:pPr>
        <w:pStyle w:val="Notedebasdepage"/>
        <w:rPr>
          <w:lang w:val="fr-BE"/>
        </w:rPr>
      </w:pPr>
      <w:r>
        <w:rPr>
          <w:rStyle w:val="Appelnotedebasdep"/>
        </w:rPr>
        <w:footnoteRef/>
      </w:r>
      <w:r>
        <w:t xml:space="preserve"> </w:t>
      </w:r>
      <w:r>
        <w:rPr>
          <w:rFonts w:asciiTheme="minorHAnsi" w:hAnsiTheme="minorHAnsi" w:cstheme="minorHAnsi"/>
          <w:lang w:val="fr-BE"/>
        </w:rPr>
        <w:t>Président, administrateur ou personne déléguée</w:t>
      </w:r>
    </w:p>
  </w:footnote>
  <w:footnote w:id="13">
    <w:p>
      <w:pPr>
        <w:pStyle w:val="Notedebasdepage"/>
        <w:rPr>
          <w:lang w:val="fr-BE"/>
        </w:rPr>
      </w:pPr>
      <w:r>
        <w:rPr>
          <w:rStyle w:val="Appelnotedebasdep"/>
        </w:rPr>
        <w:footnoteRef/>
      </w:r>
      <w:r>
        <w:t xml:space="preserve"> </w:t>
      </w:r>
      <w:r>
        <w:rPr>
          <w:rFonts w:asciiTheme="minorHAnsi" w:hAnsiTheme="minorHAnsi" w:cstheme="minorHAnsi"/>
          <w:lang w:val="fr-BE"/>
        </w:rPr>
        <w:t xml:space="preserve">À remplir au plus tard pour le 30 juin qui précède l’année scolaire pour laquelle les moyens complémentaires sont octroyés. </w:t>
      </w:r>
      <w:r>
        <w:rPr>
          <w:rFonts w:asciiTheme="minorHAnsi" w:hAnsiTheme="minorHAnsi"/>
        </w:rPr>
        <w:t>En 2017-2018, la date est fixée au 15 novembre 2017.</w:t>
      </w:r>
    </w:p>
  </w:footnote>
  <w:footnote w:id="14">
    <w:p>
      <w:pPr>
        <w:pStyle w:val="Notedebasdepage"/>
      </w:pPr>
      <w:r>
        <w:rPr>
          <w:rStyle w:val="Appelnotedebasdep"/>
        </w:rPr>
        <w:footnoteRef/>
      </w:r>
      <w:r>
        <w:t xml:space="preserve"> </w:t>
      </w:r>
      <w:r>
        <w:rPr>
          <w:rFonts w:asciiTheme="minorHAnsi" w:hAnsiTheme="minorHAnsi"/>
        </w:rPr>
        <w:t>En 2017-2018, la date est fixée au 15 novembre 2017.</w:t>
      </w:r>
    </w:p>
  </w:footnote>
  <w:footnote w:id="15">
    <w:p>
      <w:pPr>
        <w:pStyle w:val="Notedebasdepage"/>
        <w:rPr>
          <w:lang w:val="fr-BE"/>
        </w:rPr>
      </w:pPr>
      <w:r>
        <w:rPr>
          <w:rStyle w:val="Appelnotedebasdep"/>
        </w:rPr>
        <w:footnoteRef/>
      </w:r>
      <w:r>
        <w:t xml:space="preserve"> </w:t>
      </w:r>
      <w:r>
        <w:rPr>
          <w:rFonts w:asciiTheme="minorHAnsi" w:hAnsiTheme="minorHAnsi"/>
        </w:rPr>
        <w:t>En 2017-2018, la date est fixée au 15 novembre 2017.</w:t>
      </w:r>
    </w:p>
  </w:footnote>
  <w:footnote w:id="16">
    <w:p>
      <w:pPr>
        <w:pStyle w:val="Notedebasdepage"/>
        <w:rPr>
          <w:rFonts w:asciiTheme="minorHAnsi" w:hAnsiTheme="minorHAnsi" w:cstheme="minorHAnsi"/>
          <w:sz w:val="22"/>
        </w:rPr>
      </w:pPr>
      <w:r>
        <w:rPr>
          <w:rStyle w:val="Appelnotedebasdep"/>
        </w:rPr>
        <w:footnoteRef/>
      </w:r>
      <w:r>
        <w:rPr>
          <w:rFonts w:asciiTheme="minorHAnsi" w:hAnsiTheme="minorHAnsi" w:cstheme="minorHAnsi"/>
          <w:szCs w:val="18"/>
        </w:rPr>
        <w:t xml:space="preserve"> Biffer la mention inutile.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rPr>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rPr>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7487"/>
    <w:multiLevelType w:val="hybridMultilevel"/>
    <w:tmpl w:val="6D5615F6"/>
    <w:lvl w:ilvl="0" w:tplc="080C0017">
      <w:start w:val="1"/>
      <w:numFmt w:val="lowerLetter"/>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15:restartNumberingAfterBreak="0">
    <w:nsid w:val="09622D77"/>
    <w:multiLevelType w:val="hybridMultilevel"/>
    <w:tmpl w:val="EAFC69C0"/>
    <w:lvl w:ilvl="0" w:tplc="7EBC717C">
      <w:start w:val="1"/>
      <w:numFmt w:val="lowerLetter"/>
      <w:lvlText w:val="%1)"/>
      <w:lvlJc w:val="left"/>
      <w:pPr>
        <w:tabs>
          <w:tab w:val="num" w:pos="720"/>
        </w:tabs>
        <w:ind w:left="720" w:hanging="363"/>
      </w:pPr>
      <w:rPr>
        <w:rFonts w:cs="Times New Roman" w:hint="default"/>
      </w:rPr>
    </w:lvl>
    <w:lvl w:ilvl="1" w:tplc="82C8B7D4">
      <w:start w:val="3"/>
      <w:numFmt w:val="decimal"/>
      <w:lvlText w:val="%2°"/>
      <w:lvlJc w:val="left"/>
      <w:pPr>
        <w:tabs>
          <w:tab w:val="num" w:pos="357"/>
        </w:tabs>
        <w:ind w:left="357" w:hanging="357"/>
      </w:pPr>
      <w:rPr>
        <w:rFonts w:cs="Times New Roman" w:hint="default"/>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2" w15:restartNumberingAfterBreak="0">
    <w:nsid w:val="0B461BAE"/>
    <w:multiLevelType w:val="hybridMultilevel"/>
    <w:tmpl w:val="04BCE2CC"/>
    <w:lvl w:ilvl="0" w:tplc="DAE05772">
      <w:start w:val="4"/>
      <w:numFmt w:val="bullet"/>
      <w:lvlText w:val="–"/>
      <w:lvlJc w:val="left"/>
      <w:pPr>
        <w:ind w:left="720" w:hanging="360"/>
      </w:pPr>
      <w:rPr>
        <w:rFonts w:ascii="Arial" w:eastAsia="Times New Roman"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0CB3689C"/>
    <w:multiLevelType w:val="hybridMultilevel"/>
    <w:tmpl w:val="DC264CF6"/>
    <w:lvl w:ilvl="0" w:tplc="492C94EE">
      <w:start w:val="1"/>
      <w:numFmt w:val="decimal"/>
      <w:lvlText w:val="%1°"/>
      <w:lvlJc w:val="left"/>
      <w:pPr>
        <w:tabs>
          <w:tab w:val="num" w:pos="357"/>
        </w:tabs>
        <w:ind w:left="357" w:hanging="357"/>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0F7641A2"/>
    <w:multiLevelType w:val="hybridMultilevel"/>
    <w:tmpl w:val="42621C98"/>
    <w:lvl w:ilvl="0" w:tplc="8870BA4C">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12546606"/>
    <w:multiLevelType w:val="hybridMultilevel"/>
    <w:tmpl w:val="662C0E74"/>
    <w:lvl w:ilvl="0" w:tplc="F1BC615A">
      <w:numFmt w:val="bullet"/>
      <w:lvlText w:val="-"/>
      <w:lvlJc w:val="left"/>
      <w:pPr>
        <w:ind w:left="780" w:hanging="360"/>
      </w:pPr>
      <w:rPr>
        <w:rFonts w:ascii="Times New Roman" w:eastAsia="Times New Roman" w:hAnsi="Times New Roman" w:cs="Times New Roman" w:hint="default"/>
      </w:rPr>
    </w:lvl>
    <w:lvl w:ilvl="1" w:tplc="080C0003" w:tentative="1">
      <w:start w:val="1"/>
      <w:numFmt w:val="bullet"/>
      <w:lvlText w:val="o"/>
      <w:lvlJc w:val="left"/>
      <w:pPr>
        <w:ind w:left="1500" w:hanging="360"/>
      </w:pPr>
      <w:rPr>
        <w:rFonts w:ascii="Courier New" w:hAnsi="Courier New" w:cs="Courier New" w:hint="default"/>
      </w:rPr>
    </w:lvl>
    <w:lvl w:ilvl="2" w:tplc="080C0005" w:tentative="1">
      <w:start w:val="1"/>
      <w:numFmt w:val="bullet"/>
      <w:lvlText w:val=""/>
      <w:lvlJc w:val="left"/>
      <w:pPr>
        <w:ind w:left="2220" w:hanging="360"/>
      </w:pPr>
      <w:rPr>
        <w:rFonts w:ascii="Wingdings" w:hAnsi="Wingdings" w:hint="default"/>
      </w:rPr>
    </w:lvl>
    <w:lvl w:ilvl="3" w:tplc="080C0001" w:tentative="1">
      <w:start w:val="1"/>
      <w:numFmt w:val="bullet"/>
      <w:lvlText w:val=""/>
      <w:lvlJc w:val="left"/>
      <w:pPr>
        <w:ind w:left="2940" w:hanging="360"/>
      </w:pPr>
      <w:rPr>
        <w:rFonts w:ascii="Symbol" w:hAnsi="Symbol" w:hint="default"/>
      </w:rPr>
    </w:lvl>
    <w:lvl w:ilvl="4" w:tplc="080C0003" w:tentative="1">
      <w:start w:val="1"/>
      <w:numFmt w:val="bullet"/>
      <w:lvlText w:val="o"/>
      <w:lvlJc w:val="left"/>
      <w:pPr>
        <w:ind w:left="3660" w:hanging="360"/>
      </w:pPr>
      <w:rPr>
        <w:rFonts w:ascii="Courier New" w:hAnsi="Courier New" w:cs="Courier New" w:hint="default"/>
      </w:rPr>
    </w:lvl>
    <w:lvl w:ilvl="5" w:tplc="080C0005" w:tentative="1">
      <w:start w:val="1"/>
      <w:numFmt w:val="bullet"/>
      <w:lvlText w:val=""/>
      <w:lvlJc w:val="left"/>
      <w:pPr>
        <w:ind w:left="4380" w:hanging="360"/>
      </w:pPr>
      <w:rPr>
        <w:rFonts w:ascii="Wingdings" w:hAnsi="Wingdings" w:hint="default"/>
      </w:rPr>
    </w:lvl>
    <w:lvl w:ilvl="6" w:tplc="080C0001" w:tentative="1">
      <w:start w:val="1"/>
      <w:numFmt w:val="bullet"/>
      <w:lvlText w:val=""/>
      <w:lvlJc w:val="left"/>
      <w:pPr>
        <w:ind w:left="5100" w:hanging="360"/>
      </w:pPr>
      <w:rPr>
        <w:rFonts w:ascii="Symbol" w:hAnsi="Symbol" w:hint="default"/>
      </w:rPr>
    </w:lvl>
    <w:lvl w:ilvl="7" w:tplc="080C0003" w:tentative="1">
      <w:start w:val="1"/>
      <w:numFmt w:val="bullet"/>
      <w:lvlText w:val="o"/>
      <w:lvlJc w:val="left"/>
      <w:pPr>
        <w:ind w:left="5820" w:hanging="360"/>
      </w:pPr>
      <w:rPr>
        <w:rFonts w:ascii="Courier New" w:hAnsi="Courier New" w:cs="Courier New" w:hint="default"/>
      </w:rPr>
    </w:lvl>
    <w:lvl w:ilvl="8" w:tplc="080C0005" w:tentative="1">
      <w:start w:val="1"/>
      <w:numFmt w:val="bullet"/>
      <w:lvlText w:val=""/>
      <w:lvlJc w:val="left"/>
      <w:pPr>
        <w:ind w:left="6540" w:hanging="360"/>
      </w:pPr>
      <w:rPr>
        <w:rFonts w:ascii="Wingdings" w:hAnsi="Wingdings" w:hint="default"/>
      </w:rPr>
    </w:lvl>
  </w:abstractNum>
  <w:abstractNum w:abstractNumId="6" w15:restartNumberingAfterBreak="0">
    <w:nsid w:val="161379A0"/>
    <w:multiLevelType w:val="hybridMultilevel"/>
    <w:tmpl w:val="2ADA5A00"/>
    <w:lvl w:ilvl="0" w:tplc="6FD0DA22">
      <w:numFmt w:val="bullet"/>
      <w:lvlText w:val="-"/>
      <w:lvlJc w:val="left"/>
      <w:pPr>
        <w:tabs>
          <w:tab w:val="num" w:pos="380"/>
        </w:tabs>
        <w:ind w:left="380" w:hanging="380"/>
      </w:pPr>
      <w:rPr>
        <w:rFonts w:ascii="Times New Roman" w:eastAsia="Times New Roman" w:hAnsi="Times New Roman" w:cs="Times New Roman" w:hint="default"/>
      </w:rPr>
    </w:lvl>
    <w:lvl w:ilvl="1" w:tplc="16C28CCE">
      <w:start w:val="1"/>
      <w:numFmt w:val="decimal"/>
      <w:lvlText w:val="%2°"/>
      <w:lvlJc w:val="left"/>
      <w:pPr>
        <w:tabs>
          <w:tab w:val="num" w:pos="357"/>
        </w:tabs>
        <w:ind w:left="357" w:hanging="357"/>
      </w:pPr>
      <w:rPr>
        <w:rFonts w:hint="default"/>
      </w:rPr>
    </w:lvl>
    <w:lvl w:ilvl="2" w:tplc="040C0005" w:tentative="1">
      <w:start w:val="1"/>
      <w:numFmt w:val="bullet"/>
      <w:lvlText w:val=""/>
      <w:lvlJc w:val="left"/>
      <w:pPr>
        <w:tabs>
          <w:tab w:val="num" w:pos="5220"/>
        </w:tabs>
        <w:ind w:left="5220" w:hanging="360"/>
      </w:pPr>
      <w:rPr>
        <w:rFonts w:ascii="Wingdings" w:hAnsi="Wingdings" w:hint="default"/>
      </w:rPr>
    </w:lvl>
    <w:lvl w:ilvl="3" w:tplc="040C0001" w:tentative="1">
      <w:start w:val="1"/>
      <w:numFmt w:val="bullet"/>
      <w:lvlText w:val=""/>
      <w:lvlJc w:val="left"/>
      <w:pPr>
        <w:tabs>
          <w:tab w:val="num" w:pos="5940"/>
        </w:tabs>
        <w:ind w:left="5940" w:hanging="360"/>
      </w:pPr>
      <w:rPr>
        <w:rFonts w:ascii="Symbol" w:hAnsi="Symbol" w:hint="default"/>
      </w:rPr>
    </w:lvl>
    <w:lvl w:ilvl="4" w:tplc="040C0003" w:tentative="1">
      <w:start w:val="1"/>
      <w:numFmt w:val="bullet"/>
      <w:lvlText w:val="o"/>
      <w:lvlJc w:val="left"/>
      <w:pPr>
        <w:tabs>
          <w:tab w:val="num" w:pos="6660"/>
        </w:tabs>
        <w:ind w:left="6660" w:hanging="360"/>
      </w:pPr>
      <w:rPr>
        <w:rFonts w:ascii="Courier New" w:hAnsi="Courier New" w:hint="default"/>
      </w:rPr>
    </w:lvl>
    <w:lvl w:ilvl="5" w:tplc="040C0005" w:tentative="1">
      <w:start w:val="1"/>
      <w:numFmt w:val="bullet"/>
      <w:lvlText w:val=""/>
      <w:lvlJc w:val="left"/>
      <w:pPr>
        <w:tabs>
          <w:tab w:val="num" w:pos="7380"/>
        </w:tabs>
        <w:ind w:left="7380" w:hanging="360"/>
      </w:pPr>
      <w:rPr>
        <w:rFonts w:ascii="Wingdings" w:hAnsi="Wingdings" w:hint="default"/>
      </w:rPr>
    </w:lvl>
    <w:lvl w:ilvl="6" w:tplc="040C0001" w:tentative="1">
      <w:start w:val="1"/>
      <w:numFmt w:val="bullet"/>
      <w:lvlText w:val=""/>
      <w:lvlJc w:val="left"/>
      <w:pPr>
        <w:tabs>
          <w:tab w:val="num" w:pos="8100"/>
        </w:tabs>
        <w:ind w:left="8100" w:hanging="360"/>
      </w:pPr>
      <w:rPr>
        <w:rFonts w:ascii="Symbol" w:hAnsi="Symbol" w:hint="default"/>
      </w:rPr>
    </w:lvl>
    <w:lvl w:ilvl="7" w:tplc="040C0003" w:tentative="1">
      <w:start w:val="1"/>
      <w:numFmt w:val="bullet"/>
      <w:lvlText w:val="o"/>
      <w:lvlJc w:val="left"/>
      <w:pPr>
        <w:tabs>
          <w:tab w:val="num" w:pos="8820"/>
        </w:tabs>
        <w:ind w:left="8820" w:hanging="360"/>
      </w:pPr>
      <w:rPr>
        <w:rFonts w:ascii="Courier New" w:hAnsi="Courier New" w:hint="default"/>
      </w:rPr>
    </w:lvl>
    <w:lvl w:ilvl="8" w:tplc="040C0005" w:tentative="1">
      <w:start w:val="1"/>
      <w:numFmt w:val="bullet"/>
      <w:lvlText w:val=""/>
      <w:lvlJc w:val="left"/>
      <w:pPr>
        <w:tabs>
          <w:tab w:val="num" w:pos="9540"/>
        </w:tabs>
        <w:ind w:left="9540" w:hanging="360"/>
      </w:pPr>
      <w:rPr>
        <w:rFonts w:ascii="Wingdings" w:hAnsi="Wingdings" w:hint="default"/>
      </w:rPr>
    </w:lvl>
  </w:abstractNum>
  <w:abstractNum w:abstractNumId="7" w15:restartNumberingAfterBreak="0">
    <w:nsid w:val="165E3BE0"/>
    <w:multiLevelType w:val="hybridMultilevel"/>
    <w:tmpl w:val="5674398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16654F67"/>
    <w:multiLevelType w:val="hybridMultilevel"/>
    <w:tmpl w:val="F3467E96"/>
    <w:lvl w:ilvl="0" w:tplc="8870BA4C">
      <w:start w:val="1"/>
      <w:numFmt w:val="decimal"/>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9" w15:restartNumberingAfterBreak="0">
    <w:nsid w:val="17F42D28"/>
    <w:multiLevelType w:val="hybridMultilevel"/>
    <w:tmpl w:val="2990EE90"/>
    <w:lvl w:ilvl="0" w:tplc="8870BA4C">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19AD24B6"/>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9A5BDC"/>
    <w:multiLevelType w:val="hybridMultilevel"/>
    <w:tmpl w:val="E716DC8C"/>
    <w:lvl w:ilvl="0" w:tplc="080C000D">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1EF14073"/>
    <w:multiLevelType w:val="hybridMultilevel"/>
    <w:tmpl w:val="4BB25B78"/>
    <w:lvl w:ilvl="0" w:tplc="BC243ACC">
      <w:start w:val="1"/>
      <w:numFmt w:val="decimal"/>
      <w:lvlText w:val="%1."/>
      <w:lvlJc w:val="left"/>
      <w:pPr>
        <w:ind w:left="786" w:hanging="360"/>
      </w:pPr>
      <w:rPr>
        <w:b/>
      </w:rPr>
    </w:lvl>
    <w:lvl w:ilvl="1" w:tplc="080C0019" w:tentative="1">
      <w:start w:val="1"/>
      <w:numFmt w:val="lowerLetter"/>
      <w:lvlText w:val="%2."/>
      <w:lvlJc w:val="left"/>
      <w:pPr>
        <w:ind w:left="1506" w:hanging="360"/>
      </w:pPr>
    </w:lvl>
    <w:lvl w:ilvl="2" w:tplc="080C001B" w:tentative="1">
      <w:start w:val="1"/>
      <w:numFmt w:val="lowerRoman"/>
      <w:lvlText w:val="%3."/>
      <w:lvlJc w:val="right"/>
      <w:pPr>
        <w:ind w:left="2226" w:hanging="180"/>
      </w:pPr>
    </w:lvl>
    <w:lvl w:ilvl="3" w:tplc="080C000F" w:tentative="1">
      <w:start w:val="1"/>
      <w:numFmt w:val="decimal"/>
      <w:lvlText w:val="%4."/>
      <w:lvlJc w:val="left"/>
      <w:pPr>
        <w:ind w:left="2946" w:hanging="360"/>
      </w:pPr>
    </w:lvl>
    <w:lvl w:ilvl="4" w:tplc="080C0019" w:tentative="1">
      <w:start w:val="1"/>
      <w:numFmt w:val="lowerLetter"/>
      <w:lvlText w:val="%5."/>
      <w:lvlJc w:val="left"/>
      <w:pPr>
        <w:ind w:left="3666" w:hanging="360"/>
      </w:pPr>
    </w:lvl>
    <w:lvl w:ilvl="5" w:tplc="080C001B" w:tentative="1">
      <w:start w:val="1"/>
      <w:numFmt w:val="lowerRoman"/>
      <w:lvlText w:val="%6."/>
      <w:lvlJc w:val="right"/>
      <w:pPr>
        <w:ind w:left="4386" w:hanging="180"/>
      </w:pPr>
    </w:lvl>
    <w:lvl w:ilvl="6" w:tplc="080C000F" w:tentative="1">
      <w:start w:val="1"/>
      <w:numFmt w:val="decimal"/>
      <w:lvlText w:val="%7."/>
      <w:lvlJc w:val="left"/>
      <w:pPr>
        <w:ind w:left="5106" w:hanging="360"/>
      </w:pPr>
    </w:lvl>
    <w:lvl w:ilvl="7" w:tplc="080C0019" w:tentative="1">
      <w:start w:val="1"/>
      <w:numFmt w:val="lowerLetter"/>
      <w:lvlText w:val="%8."/>
      <w:lvlJc w:val="left"/>
      <w:pPr>
        <w:ind w:left="5826" w:hanging="360"/>
      </w:pPr>
    </w:lvl>
    <w:lvl w:ilvl="8" w:tplc="080C001B" w:tentative="1">
      <w:start w:val="1"/>
      <w:numFmt w:val="lowerRoman"/>
      <w:lvlText w:val="%9."/>
      <w:lvlJc w:val="right"/>
      <w:pPr>
        <w:ind w:left="6546" w:hanging="180"/>
      </w:pPr>
    </w:lvl>
  </w:abstractNum>
  <w:abstractNum w:abstractNumId="13" w15:restartNumberingAfterBreak="0">
    <w:nsid w:val="200B084D"/>
    <w:multiLevelType w:val="hybridMultilevel"/>
    <w:tmpl w:val="54D4B9B0"/>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24E21F37"/>
    <w:multiLevelType w:val="hybridMultilevel"/>
    <w:tmpl w:val="7A406BCC"/>
    <w:lvl w:ilvl="0" w:tplc="8870BA4C">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26BA75AC"/>
    <w:multiLevelType w:val="hybridMultilevel"/>
    <w:tmpl w:val="4A9C9B7E"/>
    <w:lvl w:ilvl="0" w:tplc="F1BC615A">
      <w:numFmt w:val="bullet"/>
      <w:lvlText w:val="-"/>
      <w:lvlJc w:val="left"/>
      <w:pPr>
        <w:tabs>
          <w:tab w:val="num" w:pos="3960"/>
        </w:tabs>
        <w:ind w:left="3960" w:hanging="540"/>
      </w:pPr>
      <w:rPr>
        <w:rFonts w:ascii="Times New Roman" w:eastAsia="Times New Roman" w:hAnsi="Times New Roman" w:cs="Times New Roman" w:hint="default"/>
      </w:rPr>
    </w:lvl>
    <w:lvl w:ilvl="1" w:tplc="040C0003" w:tentative="1">
      <w:start w:val="1"/>
      <w:numFmt w:val="bullet"/>
      <w:lvlText w:val="o"/>
      <w:lvlJc w:val="left"/>
      <w:pPr>
        <w:tabs>
          <w:tab w:val="num" w:pos="4500"/>
        </w:tabs>
        <w:ind w:left="4500" w:hanging="360"/>
      </w:pPr>
      <w:rPr>
        <w:rFonts w:ascii="Courier New" w:hAnsi="Courier New" w:hint="default"/>
      </w:rPr>
    </w:lvl>
    <w:lvl w:ilvl="2" w:tplc="040C0005" w:tentative="1">
      <w:start w:val="1"/>
      <w:numFmt w:val="bullet"/>
      <w:lvlText w:val=""/>
      <w:lvlJc w:val="left"/>
      <w:pPr>
        <w:tabs>
          <w:tab w:val="num" w:pos="5220"/>
        </w:tabs>
        <w:ind w:left="5220" w:hanging="360"/>
      </w:pPr>
      <w:rPr>
        <w:rFonts w:ascii="Wingdings" w:hAnsi="Wingdings" w:hint="default"/>
      </w:rPr>
    </w:lvl>
    <w:lvl w:ilvl="3" w:tplc="040C0001" w:tentative="1">
      <w:start w:val="1"/>
      <w:numFmt w:val="bullet"/>
      <w:lvlText w:val=""/>
      <w:lvlJc w:val="left"/>
      <w:pPr>
        <w:tabs>
          <w:tab w:val="num" w:pos="5940"/>
        </w:tabs>
        <w:ind w:left="5940" w:hanging="360"/>
      </w:pPr>
      <w:rPr>
        <w:rFonts w:ascii="Symbol" w:hAnsi="Symbol" w:hint="default"/>
      </w:rPr>
    </w:lvl>
    <w:lvl w:ilvl="4" w:tplc="040C0003" w:tentative="1">
      <w:start w:val="1"/>
      <w:numFmt w:val="bullet"/>
      <w:lvlText w:val="o"/>
      <w:lvlJc w:val="left"/>
      <w:pPr>
        <w:tabs>
          <w:tab w:val="num" w:pos="6660"/>
        </w:tabs>
        <w:ind w:left="6660" w:hanging="360"/>
      </w:pPr>
      <w:rPr>
        <w:rFonts w:ascii="Courier New" w:hAnsi="Courier New" w:hint="default"/>
      </w:rPr>
    </w:lvl>
    <w:lvl w:ilvl="5" w:tplc="040C0005" w:tentative="1">
      <w:start w:val="1"/>
      <w:numFmt w:val="bullet"/>
      <w:lvlText w:val=""/>
      <w:lvlJc w:val="left"/>
      <w:pPr>
        <w:tabs>
          <w:tab w:val="num" w:pos="7380"/>
        </w:tabs>
        <w:ind w:left="7380" w:hanging="360"/>
      </w:pPr>
      <w:rPr>
        <w:rFonts w:ascii="Wingdings" w:hAnsi="Wingdings" w:hint="default"/>
      </w:rPr>
    </w:lvl>
    <w:lvl w:ilvl="6" w:tplc="040C0001" w:tentative="1">
      <w:start w:val="1"/>
      <w:numFmt w:val="bullet"/>
      <w:lvlText w:val=""/>
      <w:lvlJc w:val="left"/>
      <w:pPr>
        <w:tabs>
          <w:tab w:val="num" w:pos="8100"/>
        </w:tabs>
        <w:ind w:left="8100" w:hanging="360"/>
      </w:pPr>
      <w:rPr>
        <w:rFonts w:ascii="Symbol" w:hAnsi="Symbol" w:hint="default"/>
      </w:rPr>
    </w:lvl>
    <w:lvl w:ilvl="7" w:tplc="040C0003" w:tentative="1">
      <w:start w:val="1"/>
      <w:numFmt w:val="bullet"/>
      <w:lvlText w:val="o"/>
      <w:lvlJc w:val="left"/>
      <w:pPr>
        <w:tabs>
          <w:tab w:val="num" w:pos="8820"/>
        </w:tabs>
        <w:ind w:left="8820" w:hanging="360"/>
      </w:pPr>
      <w:rPr>
        <w:rFonts w:ascii="Courier New" w:hAnsi="Courier New" w:hint="default"/>
      </w:rPr>
    </w:lvl>
    <w:lvl w:ilvl="8" w:tplc="040C0005" w:tentative="1">
      <w:start w:val="1"/>
      <w:numFmt w:val="bullet"/>
      <w:lvlText w:val=""/>
      <w:lvlJc w:val="left"/>
      <w:pPr>
        <w:tabs>
          <w:tab w:val="num" w:pos="9540"/>
        </w:tabs>
        <w:ind w:left="9540" w:hanging="360"/>
      </w:pPr>
      <w:rPr>
        <w:rFonts w:ascii="Wingdings" w:hAnsi="Wingdings" w:hint="default"/>
      </w:rPr>
    </w:lvl>
  </w:abstractNum>
  <w:abstractNum w:abstractNumId="16" w15:restartNumberingAfterBreak="0">
    <w:nsid w:val="29816A82"/>
    <w:multiLevelType w:val="hybridMultilevel"/>
    <w:tmpl w:val="3D46EEEC"/>
    <w:lvl w:ilvl="0" w:tplc="6BCAA4DC">
      <w:start w:val="1"/>
      <w:numFmt w:val="decimal"/>
      <w:lvlText w:val="%1°"/>
      <w:lvlJc w:val="left"/>
      <w:pPr>
        <w:ind w:left="340" w:hanging="34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7" w15:restartNumberingAfterBreak="0">
    <w:nsid w:val="2B3C61EC"/>
    <w:multiLevelType w:val="hybridMultilevel"/>
    <w:tmpl w:val="9DECFC2A"/>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8" w15:restartNumberingAfterBreak="0">
    <w:nsid w:val="2B970C36"/>
    <w:multiLevelType w:val="hybridMultilevel"/>
    <w:tmpl w:val="6FF81BFE"/>
    <w:lvl w:ilvl="0" w:tplc="6C4C21D2">
      <w:start w:val="1"/>
      <w:numFmt w:val="bullet"/>
      <w:lvlText w:val="□"/>
      <w:lvlJc w:val="left"/>
      <w:pPr>
        <w:tabs>
          <w:tab w:val="num" w:pos="1152"/>
        </w:tabs>
        <w:ind w:left="1152" w:hanging="360"/>
      </w:pPr>
      <w:rPr>
        <w:rFonts w:ascii="Arial" w:hAnsi="Arial" w:hint="default"/>
        <w:sz w:val="56"/>
      </w:rPr>
    </w:lvl>
    <w:lvl w:ilvl="1" w:tplc="040C0003">
      <w:start w:val="1"/>
      <w:numFmt w:val="bullet"/>
      <w:lvlText w:val="o"/>
      <w:lvlJc w:val="left"/>
      <w:pPr>
        <w:tabs>
          <w:tab w:val="num" w:pos="1872"/>
        </w:tabs>
        <w:ind w:left="1872" w:hanging="360"/>
      </w:pPr>
      <w:rPr>
        <w:rFonts w:ascii="Courier New" w:hAnsi="Courier New" w:cs="Courier New" w:hint="default"/>
      </w:rPr>
    </w:lvl>
    <w:lvl w:ilvl="2" w:tplc="040C0005" w:tentative="1">
      <w:start w:val="1"/>
      <w:numFmt w:val="bullet"/>
      <w:lvlText w:val=""/>
      <w:lvlJc w:val="left"/>
      <w:pPr>
        <w:tabs>
          <w:tab w:val="num" w:pos="2592"/>
        </w:tabs>
        <w:ind w:left="2592" w:hanging="360"/>
      </w:pPr>
      <w:rPr>
        <w:rFonts w:ascii="Wingdings" w:hAnsi="Wingdings" w:hint="default"/>
      </w:rPr>
    </w:lvl>
    <w:lvl w:ilvl="3" w:tplc="040C0001" w:tentative="1">
      <w:start w:val="1"/>
      <w:numFmt w:val="bullet"/>
      <w:lvlText w:val=""/>
      <w:lvlJc w:val="left"/>
      <w:pPr>
        <w:tabs>
          <w:tab w:val="num" w:pos="3312"/>
        </w:tabs>
        <w:ind w:left="3312" w:hanging="360"/>
      </w:pPr>
      <w:rPr>
        <w:rFonts w:ascii="Symbol" w:hAnsi="Symbol" w:hint="default"/>
      </w:rPr>
    </w:lvl>
    <w:lvl w:ilvl="4" w:tplc="040C0003" w:tentative="1">
      <w:start w:val="1"/>
      <w:numFmt w:val="bullet"/>
      <w:lvlText w:val="o"/>
      <w:lvlJc w:val="left"/>
      <w:pPr>
        <w:tabs>
          <w:tab w:val="num" w:pos="4032"/>
        </w:tabs>
        <w:ind w:left="4032" w:hanging="360"/>
      </w:pPr>
      <w:rPr>
        <w:rFonts w:ascii="Courier New" w:hAnsi="Courier New" w:cs="Courier New" w:hint="default"/>
      </w:rPr>
    </w:lvl>
    <w:lvl w:ilvl="5" w:tplc="040C0005" w:tentative="1">
      <w:start w:val="1"/>
      <w:numFmt w:val="bullet"/>
      <w:lvlText w:val=""/>
      <w:lvlJc w:val="left"/>
      <w:pPr>
        <w:tabs>
          <w:tab w:val="num" w:pos="4752"/>
        </w:tabs>
        <w:ind w:left="4752" w:hanging="360"/>
      </w:pPr>
      <w:rPr>
        <w:rFonts w:ascii="Wingdings" w:hAnsi="Wingdings" w:hint="default"/>
      </w:rPr>
    </w:lvl>
    <w:lvl w:ilvl="6" w:tplc="040C0001" w:tentative="1">
      <w:start w:val="1"/>
      <w:numFmt w:val="bullet"/>
      <w:lvlText w:val=""/>
      <w:lvlJc w:val="left"/>
      <w:pPr>
        <w:tabs>
          <w:tab w:val="num" w:pos="5472"/>
        </w:tabs>
        <w:ind w:left="5472" w:hanging="360"/>
      </w:pPr>
      <w:rPr>
        <w:rFonts w:ascii="Symbol" w:hAnsi="Symbol" w:hint="default"/>
      </w:rPr>
    </w:lvl>
    <w:lvl w:ilvl="7" w:tplc="040C0003" w:tentative="1">
      <w:start w:val="1"/>
      <w:numFmt w:val="bullet"/>
      <w:lvlText w:val="o"/>
      <w:lvlJc w:val="left"/>
      <w:pPr>
        <w:tabs>
          <w:tab w:val="num" w:pos="6192"/>
        </w:tabs>
        <w:ind w:left="6192" w:hanging="360"/>
      </w:pPr>
      <w:rPr>
        <w:rFonts w:ascii="Courier New" w:hAnsi="Courier New" w:cs="Courier New" w:hint="default"/>
      </w:rPr>
    </w:lvl>
    <w:lvl w:ilvl="8" w:tplc="040C0005" w:tentative="1">
      <w:start w:val="1"/>
      <w:numFmt w:val="bullet"/>
      <w:lvlText w:val=""/>
      <w:lvlJc w:val="left"/>
      <w:pPr>
        <w:tabs>
          <w:tab w:val="num" w:pos="6912"/>
        </w:tabs>
        <w:ind w:left="6912" w:hanging="360"/>
      </w:pPr>
      <w:rPr>
        <w:rFonts w:ascii="Wingdings" w:hAnsi="Wingdings" w:hint="default"/>
      </w:rPr>
    </w:lvl>
  </w:abstractNum>
  <w:abstractNum w:abstractNumId="19" w15:restartNumberingAfterBreak="0">
    <w:nsid w:val="2BAE7573"/>
    <w:multiLevelType w:val="hybridMultilevel"/>
    <w:tmpl w:val="231670D0"/>
    <w:lvl w:ilvl="0" w:tplc="316EB0C4">
      <w:start w:val="1"/>
      <w:numFmt w:val="decimal"/>
      <w:lvlText w:val="%1°"/>
      <w:lvlJc w:val="left"/>
      <w:pPr>
        <w:tabs>
          <w:tab w:val="num" w:pos="357"/>
        </w:tabs>
        <w:ind w:left="357" w:hanging="357"/>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20" w15:restartNumberingAfterBreak="0">
    <w:nsid w:val="2BDC55F1"/>
    <w:multiLevelType w:val="hybridMultilevel"/>
    <w:tmpl w:val="901E3962"/>
    <w:lvl w:ilvl="0" w:tplc="080C000D">
      <w:start w:val="1"/>
      <w:numFmt w:val="bullet"/>
      <w:lvlText w:val=""/>
      <w:lvlJc w:val="left"/>
      <w:pPr>
        <w:ind w:left="1060" w:hanging="360"/>
      </w:pPr>
      <w:rPr>
        <w:rFonts w:ascii="Wingdings" w:hAnsi="Wingdings" w:hint="default"/>
      </w:rPr>
    </w:lvl>
    <w:lvl w:ilvl="1" w:tplc="080C0003" w:tentative="1">
      <w:start w:val="1"/>
      <w:numFmt w:val="bullet"/>
      <w:lvlText w:val="o"/>
      <w:lvlJc w:val="left"/>
      <w:pPr>
        <w:ind w:left="1780" w:hanging="360"/>
      </w:pPr>
      <w:rPr>
        <w:rFonts w:ascii="Courier New" w:hAnsi="Courier New" w:cs="Courier New" w:hint="default"/>
      </w:rPr>
    </w:lvl>
    <w:lvl w:ilvl="2" w:tplc="080C0005" w:tentative="1">
      <w:start w:val="1"/>
      <w:numFmt w:val="bullet"/>
      <w:lvlText w:val=""/>
      <w:lvlJc w:val="left"/>
      <w:pPr>
        <w:ind w:left="2500" w:hanging="360"/>
      </w:pPr>
      <w:rPr>
        <w:rFonts w:ascii="Wingdings" w:hAnsi="Wingdings" w:hint="default"/>
      </w:rPr>
    </w:lvl>
    <w:lvl w:ilvl="3" w:tplc="080C0001" w:tentative="1">
      <w:start w:val="1"/>
      <w:numFmt w:val="bullet"/>
      <w:lvlText w:val=""/>
      <w:lvlJc w:val="left"/>
      <w:pPr>
        <w:ind w:left="3220" w:hanging="360"/>
      </w:pPr>
      <w:rPr>
        <w:rFonts w:ascii="Symbol" w:hAnsi="Symbol" w:hint="default"/>
      </w:rPr>
    </w:lvl>
    <w:lvl w:ilvl="4" w:tplc="080C0003" w:tentative="1">
      <w:start w:val="1"/>
      <w:numFmt w:val="bullet"/>
      <w:lvlText w:val="o"/>
      <w:lvlJc w:val="left"/>
      <w:pPr>
        <w:ind w:left="3940" w:hanging="360"/>
      </w:pPr>
      <w:rPr>
        <w:rFonts w:ascii="Courier New" w:hAnsi="Courier New" w:cs="Courier New" w:hint="default"/>
      </w:rPr>
    </w:lvl>
    <w:lvl w:ilvl="5" w:tplc="080C0005" w:tentative="1">
      <w:start w:val="1"/>
      <w:numFmt w:val="bullet"/>
      <w:lvlText w:val=""/>
      <w:lvlJc w:val="left"/>
      <w:pPr>
        <w:ind w:left="4660" w:hanging="360"/>
      </w:pPr>
      <w:rPr>
        <w:rFonts w:ascii="Wingdings" w:hAnsi="Wingdings" w:hint="default"/>
      </w:rPr>
    </w:lvl>
    <w:lvl w:ilvl="6" w:tplc="080C0001" w:tentative="1">
      <w:start w:val="1"/>
      <w:numFmt w:val="bullet"/>
      <w:lvlText w:val=""/>
      <w:lvlJc w:val="left"/>
      <w:pPr>
        <w:ind w:left="5380" w:hanging="360"/>
      </w:pPr>
      <w:rPr>
        <w:rFonts w:ascii="Symbol" w:hAnsi="Symbol" w:hint="default"/>
      </w:rPr>
    </w:lvl>
    <w:lvl w:ilvl="7" w:tplc="080C0003" w:tentative="1">
      <w:start w:val="1"/>
      <w:numFmt w:val="bullet"/>
      <w:lvlText w:val="o"/>
      <w:lvlJc w:val="left"/>
      <w:pPr>
        <w:ind w:left="6100" w:hanging="360"/>
      </w:pPr>
      <w:rPr>
        <w:rFonts w:ascii="Courier New" w:hAnsi="Courier New" w:cs="Courier New" w:hint="default"/>
      </w:rPr>
    </w:lvl>
    <w:lvl w:ilvl="8" w:tplc="080C0005" w:tentative="1">
      <w:start w:val="1"/>
      <w:numFmt w:val="bullet"/>
      <w:lvlText w:val=""/>
      <w:lvlJc w:val="left"/>
      <w:pPr>
        <w:ind w:left="6820" w:hanging="360"/>
      </w:pPr>
      <w:rPr>
        <w:rFonts w:ascii="Wingdings" w:hAnsi="Wingdings" w:hint="default"/>
      </w:rPr>
    </w:lvl>
  </w:abstractNum>
  <w:abstractNum w:abstractNumId="21" w15:restartNumberingAfterBreak="0">
    <w:nsid w:val="2C3D6E95"/>
    <w:multiLevelType w:val="multilevel"/>
    <w:tmpl w:val="B9BA992A"/>
    <w:lvl w:ilvl="0">
      <w:start w:val="1"/>
      <w:numFmt w:val="decimal"/>
      <w:lvlText w:val="%1."/>
      <w:lvlJc w:val="left"/>
      <w:pPr>
        <w:ind w:left="340" w:hanging="340"/>
      </w:pPr>
      <w:rPr>
        <w:rFonts w:hint="default"/>
      </w:rPr>
    </w:lvl>
    <w:lvl w:ilvl="1">
      <w:start w:val="1"/>
      <w:numFmt w:val="decimal"/>
      <w:isLgl/>
      <w:lvlText w:val="%1.%2."/>
      <w:lvlJc w:val="left"/>
      <w:pPr>
        <w:ind w:left="907" w:hanging="453"/>
      </w:pPr>
      <w:rPr>
        <w:rFonts w:hint="default"/>
      </w:rPr>
    </w:lvl>
    <w:lvl w:ilvl="2">
      <w:start w:val="1"/>
      <w:numFmt w:val="decimal"/>
      <w:isLgl/>
      <w:lvlText w:val="%1.%2.%3."/>
      <w:lvlJc w:val="left"/>
      <w:pPr>
        <w:ind w:left="1588" w:hanging="624"/>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2E9D7687"/>
    <w:multiLevelType w:val="hybridMultilevel"/>
    <w:tmpl w:val="F80A3C9C"/>
    <w:lvl w:ilvl="0" w:tplc="080C0017">
      <w:start w:val="1"/>
      <w:numFmt w:val="lowerLetter"/>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3" w15:restartNumberingAfterBreak="0">
    <w:nsid w:val="32CA3203"/>
    <w:multiLevelType w:val="hybridMultilevel"/>
    <w:tmpl w:val="293438E2"/>
    <w:lvl w:ilvl="0" w:tplc="080C0001">
      <w:start w:val="1"/>
      <w:numFmt w:val="bullet"/>
      <w:lvlText w:val=""/>
      <w:lvlJc w:val="left"/>
      <w:pPr>
        <w:ind w:left="720" w:hanging="360"/>
      </w:pPr>
      <w:rPr>
        <w:rFonts w:ascii="Symbol" w:hAnsi="Symbol"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4" w15:restartNumberingAfterBreak="0">
    <w:nsid w:val="351B7907"/>
    <w:multiLevelType w:val="hybridMultilevel"/>
    <w:tmpl w:val="1E446B04"/>
    <w:lvl w:ilvl="0" w:tplc="9C18EACE">
      <w:start w:val="1"/>
      <w:numFmt w:val="lowerLetter"/>
      <w:lvlText w:val="%1)"/>
      <w:lvlJc w:val="left"/>
      <w:pPr>
        <w:tabs>
          <w:tab w:val="num" w:pos="720"/>
        </w:tabs>
        <w:ind w:left="720" w:hanging="363"/>
      </w:pPr>
      <w:rPr>
        <w:rFonts w:cs="Times New Roman" w:hint="default"/>
      </w:rPr>
    </w:lvl>
    <w:lvl w:ilvl="1" w:tplc="FCA0173E">
      <w:start w:val="4"/>
      <w:numFmt w:val="decimal"/>
      <w:lvlText w:val="%2°"/>
      <w:lvlJc w:val="left"/>
      <w:pPr>
        <w:tabs>
          <w:tab w:val="num" w:pos="357"/>
        </w:tabs>
        <w:ind w:left="357" w:hanging="357"/>
      </w:pPr>
      <w:rPr>
        <w:rFonts w:cs="Times New Roman" w:hint="default"/>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25" w15:restartNumberingAfterBreak="0">
    <w:nsid w:val="356D50A0"/>
    <w:multiLevelType w:val="hybridMultilevel"/>
    <w:tmpl w:val="34C012C8"/>
    <w:lvl w:ilvl="0" w:tplc="43627B36">
      <w:start w:val="1"/>
      <w:numFmt w:val="bullet"/>
      <w:lvlText w:val=""/>
      <w:lvlJc w:val="left"/>
      <w:pPr>
        <w:ind w:left="284" w:hanging="284"/>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 w15:restartNumberingAfterBreak="0">
    <w:nsid w:val="39A9577C"/>
    <w:multiLevelType w:val="hybridMultilevel"/>
    <w:tmpl w:val="CB9CC6B6"/>
    <w:lvl w:ilvl="0" w:tplc="C6204914">
      <w:start w:val="1"/>
      <w:numFmt w:val="decimal"/>
      <w:lvlText w:val="%1°"/>
      <w:lvlJc w:val="left"/>
      <w:pPr>
        <w:tabs>
          <w:tab w:val="num" w:pos="357"/>
        </w:tabs>
        <w:ind w:left="357" w:hanging="357"/>
      </w:pPr>
      <w:rPr>
        <w:rFonts w:cs="Times New Roman" w:hint="default"/>
      </w:rPr>
    </w:lvl>
    <w:lvl w:ilvl="1" w:tplc="0FBAA552">
      <w:start w:val="1"/>
      <w:numFmt w:val="lowerLetter"/>
      <w:lvlText w:val="%2)"/>
      <w:lvlJc w:val="left"/>
      <w:pPr>
        <w:tabs>
          <w:tab w:val="num" w:pos="720"/>
        </w:tabs>
        <w:ind w:left="720" w:hanging="363"/>
      </w:pPr>
      <w:rPr>
        <w:rFonts w:cs="Times New Roman" w:hint="default"/>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27" w15:restartNumberingAfterBreak="0">
    <w:nsid w:val="3A103262"/>
    <w:multiLevelType w:val="hybridMultilevel"/>
    <w:tmpl w:val="2ED05A40"/>
    <w:lvl w:ilvl="0" w:tplc="080C0001">
      <w:start w:val="1"/>
      <w:numFmt w:val="bullet"/>
      <w:lvlText w:val=""/>
      <w:lvlJc w:val="left"/>
      <w:pPr>
        <w:ind w:left="780" w:hanging="360"/>
      </w:pPr>
      <w:rPr>
        <w:rFonts w:ascii="Symbol" w:hAnsi="Symbol" w:hint="default"/>
      </w:rPr>
    </w:lvl>
    <w:lvl w:ilvl="1" w:tplc="080C0003" w:tentative="1">
      <w:start w:val="1"/>
      <w:numFmt w:val="bullet"/>
      <w:lvlText w:val="o"/>
      <w:lvlJc w:val="left"/>
      <w:pPr>
        <w:ind w:left="1500" w:hanging="360"/>
      </w:pPr>
      <w:rPr>
        <w:rFonts w:ascii="Courier New" w:hAnsi="Courier New" w:cs="Courier New" w:hint="default"/>
      </w:rPr>
    </w:lvl>
    <w:lvl w:ilvl="2" w:tplc="080C0005" w:tentative="1">
      <w:start w:val="1"/>
      <w:numFmt w:val="bullet"/>
      <w:lvlText w:val=""/>
      <w:lvlJc w:val="left"/>
      <w:pPr>
        <w:ind w:left="2220" w:hanging="360"/>
      </w:pPr>
      <w:rPr>
        <w:rFonts w:ascii="Wingdings" w:hAnsi="Wingdings" w:hint="default"/>
      </w:rPr>
    </w:lvl>
    <w:lvl w:ilvl="3" w:tplc="080C0001" w:tentative="1">
      <w:start w:val="1"/>
      <w:numFmt w:val="bullet"/>
      <w:lvlText w:val=""/>
      <w:lvlJc w:val="left"/>
      <w:pPr>
        <w:ind w:left="2940" w:hanging="360"/>
      </w:pPr>
      <w:rPr>
        <w:rFonts w:ascii="Symbol" w:hAnsi="Symbol" w:hint="default"/>
      </w:rPr>
    </w:lvl>
    <w:lvl w:ilvl="4" w:tplc="080C0003" w:tentative="1">
      <w:start w:val="1"/>
      <w:numFmt w:val="bullet"/>
      <w:lvlText w:val="o"/>
      <w:lvlJc w:val="left"/>
      <w:pPr>
        <w:ind w:left="3660" w:hanging="360"/>
      </w:pPr>
      <w:rPr>
        <w:rFonts w:ascii="Courier New" w:hAnsi="Courier New" w:cs="Courier New" w:hint="default"/>
      </w:rPr>
    </w:lvl>
    <w:lvl w:ilvl="5" w:tplc="080C0005" w:tentative="1">
      <w:start w:val="1"/>
      <w:numFmt w:val="bullet"/>
      <w:lvlText w:val=""/>
      <w:lvlJc w:val="left"/>
      <w:pPr>
        <w:ind w:left="4380" w:hanging="360"/>
      </w:pPr>
      <w:rPr>
        <w:rFonts w:ascii="Wingdings" w:hAnsi="Wingdings" w:hint="default"/>
      </w:rPr>
    </w:lvl>
    <w:lvl w:ilvl="6" w:tplc="080C0001" w:tentative="1">
      <w:start w:val="1"/>
      <w:numFmt w:val="bullet"/>
      <w:lvlText w:val=""/>
      <w:lvlJc w:val="left"/>
      <w:pPr>
        <w:ind w:left="5100" w:hanging="360"/>
      </w:pPr>
      <w:rPr>
        <w:rFonts w:ascii="Symbol" w:hAnsi="Symbol" w:hint="default"/>
      </w:rPr>
    </w:lvl>
    <w:lvl w:ilvl="7" w:tplc="080C0003" w:tentative="1">
      <w:start w:val="1"/>
      <w:numFmt w:val="bullet"/>
      <w:lvlText w:val="o"/>
      <w:lvlJc w:val="left"/>
      <w:pPr>
        <w:ind w:left="5820" w:hanging="360"/>
      </w:pPr>
      <w:rPr>
        <w:rFonts w:ascii="Courier New" w:hAnsi="Courier New" w:cs="Courier New" w:hint="default"/>
      </w:rPr>
    </w:lvl>
    <w:lvl w:ilvl="8" w:tplc="080C0005" w:tentative="1">
      <w:start w:val="1"/>
      <w:numFmt w:val="bullet"/>
      <w:lvlText w:val=""/>
      <w:lvlJc w:val="left"/>
      <w:pPr>
        <w:ind w:left="6540" w:hanging="360"/>
      </w:pPr>
      <w:rPr>
        <w:rFonts w:ascii="Wingdings" w:hAnsi="Wingdings" w:hint="default"/>
      </w:rPr>
    </w:lvl>
  </w:abstractNum>
  <w:abstractNum w:abstractNumId="28" w15:restartNumberingAfterBreak="0">
    <w:nsid w:val="3BB54C70"/>
    <w:multiLevelType w:val="hybridMultilevel"/>
    <w:tmpl w:val="052CD77A"/>
    <w:lvl w:ilvl="0" w:tplc="47BA0C24">
      <w:start w:val="1"/>
      <w:numFmt w:val="decimal"/>
      <w:lvlText w:val="%1°"/>
      <w:lvlJc w:val="left"/>
      <w:pPr>
        <w:ind w:left="36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9" w15:restartNumberingAfterBreak="0">
    <w:nsid w:val="44024D79"/>
    <w:multiLevelType w:val="multilevel"/>
    <w:tmpl w:val="DC264CF6"/>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4344346"/>
    <w:multiLevelType w:val="hybridMultilevel"/>
    <w:tmpl w:val="322623F0"/>
    <w:lvl w:ilvl="0" w:tplc="8870BA4C">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1" w15:restartNumberingAfterBreak="0">
    <w:nsid w:val="45E7643B"/>
    <w:multiLevelType w:val="hybridMultilevel"/>
    <w:tmpl w:val="662636C0"/>
    <w:lvl w:ilvl="0" w:tplc="080C0017">
      <w:start w:val="1"/>
      <w:numFmt w:val="lowerLetter"/>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2" w15:restartNumberingAfterBreak="0">
    <w:nsid w:val="483D0482"/>
    <w:multiLevelType w:val="hybridMultilevel"/>
    <w:tmpl w:val="AF54C0FA"/>
    <w:lvl w:ilvl="0" w:tplc="97AC319C">
      <w:start w:val="9"/>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AE4C83"/>
    <w:multiLevelType w:val="hybridMultilevel"/>
    <w:tmpl w:val="29E8308C"/>
    <w:lvl w:ilvl="0" w:tplc="6BCAA4DC">
      <w:start w:val="1"/>
      <w:numFmt w:val="decimal"/>
      <w:lvlText w:val="%1°"/>
      <w:lvlJc w:val="left"/>
      <w:pPr>
        <w:ind w:left="340" w:hanging="34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4" w15:restartNumberingAfterBreak="0">
    <w:nsid w:val="4DCD6597"/>
    <w:multiLevelType w:val="hybridMultilevel"/>
    <w:tmpl w:val="37145130"/>
    <w:lvl w:ilvl="0" w:tplc="080C0017">
      <w:start w:val="1"/>
      <w:numFmt w:val="lowerLetter"/>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5" w15:restartNumberingAfterBreak="0">
    <w:nsid w:val="53A52165"/>
    <w:multiLevelType w:val="hybridMultilevel"/>
    <w:tmpl w:val="0A861828"/>
    <w:lvl w:ilvl="0" w:tplc="9DD2EF88">
      <w:start w:val="1"/>
      <w:numFmt w:val="bullet"/>
      <w:lvlText w:val=""/>
      <w:lvlJc w:val="left"/>
      <w:pPr>
        <w:ind w:left="340" w:hanging="34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6" w15:restartNumberingAfterBreak="0">
    <w:nsid w:val="554D2A2B"/>
    <w:multiLevelType w:val="hybridMultilevel"/>
    <w:tmpl w:val="D52EC3B0"/>
    <w:lvl w:ilvl="0" w:tplc="E6DC0372">
      <w:start w:val="1"/>
      <w:numFmt w:val="decimal"/>
      <w:lvlText w:val="%1°"/>
      <w:lvlJc w:val="left"/>
      <w:pPr>
        <w:tabs>
          <w:tab w:val="num" w:pos="357"/>
        </w:tabs>
        <w:ind w:left="357" w:hanging="357"/>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37" w15:restartNumberingAfterBreak="0">
    <w:nsid w:val="570C1D01"/>
    <w:multiLevelType w:val="hybridMultilevel"/>
    <w:tmpl w:val="9BEC3D00"/>
    <w:lvl w:ilvl="0" w:tplc="080C0017">
      <w:start w:val="1"/>
      <w:numFmt w:val="lowerLetter"/>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8" w15:restartNumberingAfterBreak="0">
    <w:nsid w:val="5BC54BFC"/>
    <w:multiLevelType w:val="hybridMultilevel"/>
    <w:tmpl w:val="7B420222"/>
    <w:lvl w:ilvl="0" w:tplc="6BCAA4DC">
      <w:start w:val="1"/>
      <w:numFmt w:val="decimal"/>
      <w:lvlText w:val="%1°"/>
      <w:lvlJc w:val="left"/>
      <w:pPr>
        <w:ind w:left="340" w:hanging="34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9" w15:restartNumberingAfterBreak="0">
    <w:nsid w:val="5C015E72"/>
    <w:multiLevelType w:val="hybridMultilevel"/>
    <w:tmpl w:val="217AC236"/>
    <w:lvl w:ilvl="0" w:tplc="080C0017">
      <w:start w:val="1"/>
      <w:numFmt w:val="lowerLetter"/>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0" w15:restartNumberingAfterBreak="0">
    <w:nsid w:val="5C9623AC"/>
    <w:multiLevelType w:val="hybridMultilevel"/>
    <w:tmpl w:val="4F920606"/>
    <w:lvl w:ilvl="0" w:tplc="00000002">
      <w:start w:val="9"/>
      <w:numFmt w:val="bullet"/>
      <w:lvlText w:val="-"/>
      <w:lvlJc w:val="left"/>
      <w:pPr>
        <w:tabs>
          <w:tab w:val="num" w:pos="360"/>
        </w:tabs>
        <w:ind w:left="360" w:hanging="360"/>
      </w:pPr>
      <w:rPr>
        <w:rFonts w:ascii="OpenSymbol" w:hAnsi="OpenSymbol"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1" w15:restartNumberingAfterBreak="0">
    <w:nsid w:val="60630BC4"/>
    <w:multiLevelType w:val="hybridMultilevel"/>
    <w:tmpl w:val="4732A690"/>
    <w:lvl w:ilvl="0" w:tplc="8D22EF74">
      <w:start w:val="1"/>
      <w:numFmt w:val="lowerLetter"/>
      <w:lvlText w:val="%1)"/>
      <w:lvlJc w:val="left"/>
      <w:pPr>
        <w:ind w:left="720" w:hanging="360"/>
      </w:pPr>
      <w:rPr>
        <w:rFonts w:ascii="Times New Roman" w:eastAsia="Times New Roman" w:hAnsi="Times New Roman" w:cs="Times New Roman"/>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2" w15:restartNumberingAfterBreak="0">
    <w:nsid w:val="61594E8D"/>
    <w:multiLevelType w:val="hybridMultilevel"/>
    <w:tmpl w:val="3E4C591C"/>
    <w:lvl w:ilvl="0" w:tplc="3B00F8E6">
      <w:start w:val="1"/>
      <w:numFmt w:val="bullet"/>
      <w:lvlText w:val=""/>
      <w:lvlJc w:val="left"/>
      <w:pPr>
        <w:ind w:left="397" w:hanging="397"/>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3" w15:restartNumberingAfterBreak="0">
    <w:nsid w:val="67D10E19"/>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2271B9B"/>
    <w:multiLevelType w:val="hybridMultilevel"/>
    <w:tmpl w:val="7176314A"/>
    <w:lvl w:ilvl="0" w:tplc="8870BA4C">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5" w15:restartNumberingAfterBreak="0">
    <w:nsid w:val="77856B94"/>
    <w:multiLevelType w:val="hybridMultilevel"/>
    <w:tmpl w:val="D12AC736"/>
    <w:lvl w:ilvl="0" w:tplc="080C0017">
      <w:start w:val="1"/>
      <w:numFmt w:val="lowerLetter"/>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6" w15:restartNumberingAfterBreak="0">
    <w:nsid w:val="7DD51C2C"/>
    <w:multiLevelType w:val="hybridMultilevel"/>
    <w:tmpl w:val="3D08BB06"/>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7" w15:restartNumberingAfterBreak="0">
    <w:nsid w:val="7EAD157D"/>
    <w:multiLevelType w:val="multilevel"/>
    <w:tmpl w:val="E6422F0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6"/>
  </w:num>
  <w:num w:numId="3">
    <w:abstractNumId w:val="3"/>
  </w:num>
  <w:num w:numId="4">
    <w:abstractNumId w:val="36"/>
  </w:num>
  <w:num w:numId="5">
    <w:abstractNumId w:val="19"/>
  </w:num>
  <w:num w:numId="6">
    <w:abstractNumId w:val="26"/>
  </w:num>
  <w:num w:numId="7">
    <w:abstractNumId w:val="1"/>
  </w:num>
  <w:num w:numId="8">
    <w:abstractNumId w:val="24"/>
  </w:num>
  <w:num w:numId="9">
    <w:abstractNumId w:val="29"/>
  </w:num>
  <w:num w:numId="10">
    <w:abstractNumId w:val="40"/>
  </w:num>
  <w:num w:numId="11">
    <w:abstractNumId w:val="32"/>
  </w:num>
  <w:num w:numId="12">
    <w:abstractNumId w:val="41"/>
  </w:num>
  <w:num w:numId="13">
    <w:abstractNumId w:val="46"/>
  </w:num>
  <w:num w:numId="14">
    <w:abstractNumId w:val="17"/>
  </w:num>
  <w:num w:numId="15">
    <w:abstractNumId w:val="5"/>
  </w:num>
  <w:num w:numId="16">
    <w:abstractNumId w:val="2"/>
  </w:num>
  <w:num w:numId="17">
    <w:abstractNumId w:val="27"/>
  </w:num>
  <w:num w:numId="18">
    <w:abstractNumId w:val="35"/>
  </w:num>
  <w:num w:numId="19">
    <w:abstractNumId w:val="18"/>
  </w:num>
  <w:num w:numId="20">
    <w:abstractNumId w:val="21"/>
  </w:num>
  <w:num w:numId="21">
    <w:abstractNumId w:val="31"/>
  </w:num>
  <w:num w:numId="22">
    <w:abstractNumId w:val="28"/>
  </w:num>
  <w:num w:numId="23">
    <w:abstractNumId w:val="9"/>
  </w:num>
  <w:num w:numId="24">
    <w:abstractNumId w:val="0"/>
  </w:num>
  <w:num w:numId="25">
    <w:abstractNumId w:val="39"/>
  </w:num>
  <w:num w:numId="26">
    <w:abstractNumId w:val="34"/>
  </w:num>
  <w:num w:numId="27">
    <w:abstractNumId w:val="44"/>
  </w:num>
  <w:num w:numId="28">
    <w:abstractNumId w:val="14"/>
  </w:num>
  <w:num w:numId="29">
    <w:abstractNumId w:val="43"/>
  </w:num>
  <w:num w:numId="30">
    <w:abstractNumId w:val="10"/>
  </w:num>
  <w:num w:numId="31">
    <w:abstractNumId w:val="13"/>
  </w:num>
  <w:num w:numId="32">
    <w:abstractNumId w:val="47"/>
  </w:num>
  <w:num w:numId="33">
    <w:abstractNumId w:val="23"/>
  </w:num>
  <w:num w:numId="34">
    <w:abstractNumId w:val="7"/>
  </w:num>
  <w:num w:numId="35">
    <w:abstractNumId w:val="42"/>
  </w:num>
  <w:num w:numId="36">
    <w:abstractNumId w:val="25"/>
  </w:num>
  <w:num w:numId="37">
    <w:abstractNumId w:val="16"/>
  </w:num>
  <w:num w:numId="38">
    <w:abstractNumId w:val="33"/>
  </w:num>
  <w:num w:numId="39">
    <w:abstractNumId w:val="38"/>
  </w:num>
  <w:num w:numId="40">
    <w:abstractNumId w:val="37"/>
  </w:num>
  <w:num w:numId="41">
    <w:abstractNumId w:val="4"/>
  </w:num>
  <w:num w:numId="42">
    <w:abstractNumId w:val="45"/>
  </w:num>
  <w:num w:numId="43">
    <w:abstractNumId w:val="30"/>
  </w:num>
  <w:num w:numId="44">
    <w:abstractNumId w:val="22"/>
  </w:num>
  <w:num w:numId="45">
    <w:abstractNumId w:val="8"/>
  </w:num>
  <w:num w:numId="46">
    <w:abstractNumId w:val="20"/>
  </w:num>
  <w:num w:numId="47">
    <w:abstractNumId w:val="11"/>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3FD03D4B-ABAB-46C7-83D0-CAB0205C5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fr-FR" w:eastAsia="fr-FR"/>
    </w:rPr>
  </w:style>
  <w:style w:type="paragraph" w:styleId="Titre1">
    <w:name w:val="heading 1"/>
    <w:basedOn w:val="Normal"/>
    <w:next w:val="Normal"/>
    <w:qFormat/>
    <w:pPr>
      <w:keepNext/>
      <w:outlineLvl w:val="0"/>
    </w:pPr>
    <w:rPr>
      <w:b/>
      <w:bCs/>
      <w:sz w:val="28"/>
      <w:lang w:val="fr-BE"/>
    </w:rPr>
  </w:style>
  <w:style w:type="paragraph" w:styleId="Titre2">
    <w:name w:val="heading 2"/>
    <w:basedOn w:val="Normal"/>
    <w:next w:val="Normal"/>
    <w:qFormat/>
    <w:pPr>
      <w:keepNext/>
      <w:tabs>
        <w:tab w:val="left" w:pos="2520"/>
      </w:tabs>
      <w:outlineLvl w:val="1"/>
    </w:pPr>
    <w:rPr>
      <w:b/>
      <w:bCs/>
      <w:lang w:val="fr-BE"/>
    </w:rPr>
  </w:style>
  <w:style w:type="paragraph" w:styleId="Titre3">
    <w:name w:val="heading 3"/>
    <w:basedOn w:val="Normal"/>
    <w:next w:val="Normal"/>
    <w:qFormat/>
    <w:pPr>
      <w:keepNext/>
      <w:ind w:left="357"/>
      <w:jc w:val="both"/>
      <w:outlineLvl w:val="2"/>
    </w:pPr>
    <w:rPr>
      <w:i/>
      <w:iCs/>
    </w:rPr>
  </w:style>
  <w:style w:type="paragraph" w:styleId="Titre5">
    <w:name w:val="heading 5"/>
    <w:basedOn w:val="Normal"/>
    <w:next w:val="Normal"/>
    <w:qFormat/>
    <w:pPr>
      <w:keepNext/>
      <w:tabs>
        <w:tab w:val="left" w:pos="7125"/>
      </w:tabs>
      <w:jc w:val="center"/>
      <w:outlineLvl w:val="4"/>
    </w:pPr>
    <w:rPr>
      <w:szCs w:val="20"/>
      <w:u w:val="single"/>
    </w:rPr>
  </w:style>
  <w:style w:type="paragraph" w:styleId="Titre7">
    <w:name w:val="heading 7"/>
    <w:basedOn w:val="Normal"/>
    <w:next w:val="Normal"/>
    <w:qFormat/>
    <w:pPr>
      <w:keepNext/>
      <w:tabs>
        <w:tab w:val="left" w:pos="7125"/>
      </w:tabs>
      <w:jc w:val="center"/>
      <w:outlineLvl w:val="6"/>
    </w:pPr>
    <w:rPr>
      <w:b/>
      <w:szCs w:val="20"/>
    </w:rPr>
  </w:style>
  <w:style w:type="paragraph" w:styleId="Titre9">
    <w:name w:val="heading 9"/>
    <w:basedOn w:val="Normal"/>
    <w:next w:val="Normal"/>
    <w:qFormat/>
    <w:pPr>
      <w:keepNext/>
      <w:jc w:val="center"/>
      <w:outlineLvl w:val="8"/>
    </w:pPr>
    <w:rPr>
      <w:rFonts w:ascii="Arial" w:hAnsi="Arial"/>
      <w:b/>
      <w:sz w:val="28"/>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pPr>
      <w:tabs>
        <w:tab w:val="left" w:pos="2880"/>
      </w:tabs>
      <w:ind w:left="2880" w:hanging="2880"/>
    </w:pPr>
    <w:rPr>
      <w:b/>
      <w:bCs/>
      <w:lang w:val="fr-BE"/>
    </w:rPr>
  </w:style>
  <w:style w:type="paragraph" w:styleId="Retraitcorpsdetexte2">
    <w:name w:val="Body Text Indent 2"/>
    <w:basedOn w:val="Normal"/>
    <w:pPr>
      <w:tabs>
        <w:tab w:val="left" w:pos="2880"/>
      </w:tabs>
      <w:ind w:left="2880" w:hanging="360"/>
    </w:pPr>
    <w:rPr>
      <w:lang w:val="fr-BE"/>
    </w:rPr>
  </w:style>
  <w:style w:type="paragraph" w:customStyle="1" w:styleId="ddxbook">
    <w:name w:val="ddxbook"/>
    <w:basedOn w:val="Normal"/>
    <w:pPr>
      <w:jc w:val="both"/>
    </w:pPr>
    <w:rPr>
      <w:rFonts w:ascii="Century Schoolbook" w:hAnsi="Century Schoolbook"/>
      <w:szCs w:val="20"/>
      <w:lang w:val="fr-BE"/>
    </w:rPr>
  </w:style>
  <w:style w:type="paragraph" w:styleId="NormalWeb">
    <w:name w:val="Normal (Web)"/>
    <w:basedOn w:val="Normal"/>
    <w:pPr>
      <w:spacing w:before="100" w:after="100"/>
    </w:pPr>
    <w:rPr>
      <w:szCs w:val="20"/>
    </w:rPr>
  </w:style>
  <w:style w:type="paragraph" w:styleId="Notedebasdepage">
    <w:name w:val="footnote text"/>
    <w:basedOn w:val="Normal"/>
    <w:link w:val="NotedebasdepageCar"/>
    <w:rPr>
      <w:sz w:val="20"/>
      <w:szCs w:val="20"/>
    </w:rPr>
  </w:style>
  <w:style w:type="character" w:styleId="Appelnotedebasdep">
    <w:name w:val="footnote reference"/>
    <w:basedOn w:val="Policepardfaut"/>
    <w:uiPriority w:val="99"/>
    <w:rPr>
      <w:vertAlign w:val="superscript"/>
    </w:rPr>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Corpsdetexte">
    <w:name w:val="Body Text"/>
    <w:basedOn w:val="Normal"/>
    <w:pPr>
      <w:jc w:val="both"/>
    </w:pPr>
    <w:rPr>
      <w:rFonts w:ascii="Arial" w:hAnsi="Arial"/>
      <w:szCs w:val="20"/>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Pr>
      <w:color w:val="0000FF"/>
      <w:u w:val="single"/>
    </w:rPr>
  </w:style>
  <w:style w:type="character" w:customStyle="1" w:styleId="WW8Num11z0">
    <w:name w:val="WW8Num11z0"/>
    <w:rPr>
      <w:sz w:val="22"/>
    </w:rPr>
  </w:style>
  <w:style w:type="paragraph" w:customStyle="1" w:styleId="Default">
    <w:name w:val="Default"/>
    <w:pPr>
      <w:autoSpaceDE w:val="0"/>
      <w:autoSpaceDN w:val="0"/>
      <w:adjustRightInd w:val="0"/>
    </w:pPr>
    <w:rPr>
      <w:color w:val="000000"/>
      <w:sz w:val="24"/>
      <w:szCs w:val="24"/>
    </w:rPr>
  </w:style>
  <w:style w:type="character" w:customStyle="1" w:styleId="NotedebasdepageCar">
    <w:name w:val="Note de bas de page Car"/>
    <w:basedOn w:val="Policepardfaut"/>
    <w:link w:val="Notedebasdepage"/>
    <w:rPr>
      <w:lang w:val="fr-FR" w:eastAsia="fr-FR"/>
    </w:rPr>
  </w:style>
  <w:style w:type="paragraph" w:styleId="Paragraphedeliste">
    <w:name w:val="List Paragraph"/>
    <w:basedOn w:val="Normal"/>
    <w:uiPriority w:val="34"/>
    <w:qFormat/>
    <w:pPr>
      <w:ind w:left="720"/>
      <w:contextualSpacing/>
    </w:pPr>
  </w:style>
  <w:style w:type="paragraph" w:customStyle="1" w:styleId="Sansinterligne1">
    <w:name w:val="Sans interligne1"/>
    <w:pPr>
      <w:suppressAutoHyphens/>
    </w:pPr>
    <w:rPr>
      <w:rFonts w:ascii="Calibri" w:eastAsia="Arial" w:hAnsi="Calibri"/>
      <w:sz w:val="22"/>
      <w:szCs w:val="22"/>
      <w:lang w:val="fr-FR" w:eastAsia="ar-SA"/>
    </w:rPr>
  </w:style>
  <w:style w:type="table" w:customStyle="1" w:styleId="Tableausimple51">
    <w:name w:val="Tableau simple 51"/>
    <w:basedOn w:val="Tableau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Textedelespacerserv">
    <w:name w:val="Placeholder Text"/>
    <w:basedOn w:val="Policepardfaut"/>
    <w:uiPriority w:val="99"/>
    <w:semiHidden/>
    <w:rPr>
      <w:color w:val="808080"/>
    </w:rPr>
  </w:style>
  <w:style w:type="character" w:customStyle="1" w:styleId="PieddepageCar">
    <w:name w:val="Pied de page Car"/>
    <w:basedOn w:val="Policepardfaut"/>
    <w:link w:val="Pieddepage"/>
    <w:uiPriority w:val="99"/>
    <w:rPr>
      <w:sz w:val="24"/>
      <w:szCs w:val="24"/>
      <w:lang w:val="fr-FR" w:eastAsia="fr-FR"/>
    </w:rPr>
  </w:style>
  <w:style w:type="character" w:styleId="Marquedecommentaire">
    <w:name w:val="annotation reference"/>
    <w:basedOn w:val="Policepardfaut"/>
    <w:semiHidden/>
    <w:unhideWhenUsed/>
    <w:rPr>
      <w:sz w:val="16"/>
      <w:szCs w:val="16"/>
    </w:rPr>
  </w:style>
  <w:style w:type="paragraph" w:styleId="Commentaire">
    <w:name w:val="annotation text"/>
    <w:basedOn w:val="Normal"/>
    <w:link w:val="CommentaireCar"/>
    <w:semiHidden/>
    <w:unhideWhenUsed/>
    <w:rPr>
      <w:sz w:val="20"/>
      <w:szCs w:val="20"/>
    </w:rPr>
  </w:style>
  <w:style w:type="character" w:customStyle="1" w:styleId="CommentaireCar">
    <w:name w:val="Commentaire Car"/>
    <w:basedOn w:val="Policepardfaut"/>
    <w:link w:val="Commentaire"/>
    <w:semiHidden/>
    <w:rPr>
      <w:lang w:val="fr-FR" w:eastAsia="fr-FR"/>
    </w:rPr>
  </w:style>
  <w:style w:type="paragraph" w:styleId="Objetducommentaire">
    <w:name w:val="annotation subject"/>
    <w:basedOn w:val="Commentaire"/>
    <w:next w:val="Commentaire"/>
    <w:link w:val="ObjetducommentaireCar"/>
    <w:semiHidden/>
    <w:unhideWhenUsed/>
    <w:rPr>
      <w:b/>
      <w:bCs/>
    </w:rPr>
  </w:style>
  <w:style w:type="character" w:customStyle="1" w:styleId="ObjetducommentaireCar">
    <w:name w:val="Objet du commentaire Car"/>
    <w:basedOn w:val="CommentaireCar"/>
    <w:link w:val="Objetducommentaire"/>
    <w:semiHidden/>
    <w:rPr>
      <w:b/>
      <w:bCs/>
      <w:lang w:val="fr-FR" w:eastAsia="fr-FR"/>
    </w:rPr>
  </w:style>
  <w:style w:type="paragraph" w:styleId="Rvision">
    <w:name w:val="Revision"/>
    <w:hidden/>
    <w:uiPriority w:val="99"/>
    <w:semiHidden/>
    <w:rPr>
      <w:sz w:val="24"/>
      <w:szCs w:val="24"/>
      <w:lang w:val="fr-FR" w:eastAsia="fr-FR"/>
    </w:rPr>
  </w:style>
  <w:style w:type="character" w:customStyle="1" w:styleId="st1">
    <w:name w:val="st1"/>
    <w:basedOn w:val="Policepardfau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418887">
      <w:bodyDiv w:val="1"/>
      <w:marLeft w:val="0"/>
      <w:marRight w:val="0"/>
      <w:marTop w:val="0"/>
      <w:marBottom w:val="0"/>
      <w:divBdr>
        <w:top w:val="none" w:sz="0" w:space="0" w:color="auto"/>
        <w:left w:val="none" w:sz="0" w:space="0" w:color="auto"/>
        <w:bottom w:val="none" w:sz="0" w:space="0" w:color="auto"/>
        <w:right w:val="none" w:sz="0" w:space="0" w:color="auto"/>
      </w:divBdr>
      <w:divsChild>
        <w:div w:id="30501283">
          <w:marLeft w:val="0"/>
          <w:marRight w:val="0"/>
          <w:marTop w:val="0"/>
          <w:marBottom w:val="0"/>
          <w:divBdr>
            <w:top w:val="none" w:sz="0" w:space="0" w:color="auto"/>
            <w:left w:val="none" w:sz="0" w:space="0" w:color="auto"/>
            <w:bottom w:val="none" w:sz="0" w:space="0" w:color="auto"/>
            <w:right w:val="none" w:sz="0" w:space="0" w:color="auto"/>
          </w:divBdr>
        </w:div>
        <w:div w:id="42483865">
          <w:marLeft w:val="0"/>
          <w:marRight w:val="0"/>
          <w:marTop w:val="0"/>
          <w:marBottom w:val="0"/>
          <w:divBdr>
            <w:top w:val="none" w:sz="0" w:space="0" w:color="auto"/>
            <w:left w:val="none" w:sz="0" w:space="0" w:color="auto"/>
            <w:bottom w:val="none" w:sz="0" w:space="0" w:color="auto"/>
            <w:right w:val="none" w:sz="0" w:space="0" w:color="auto"/>
          </w:divBdr>
        </w:div>
        <w:div w:id="102581753">
          <w:marLeft w:val="0"/>
          <w:marRight w:val="0"/>
          <w:marTop w:val="0"/>
          <w:marBottom w:val="0"/>
          <w:divBdr>
            <w:top w:val="none" w:sz="0" w:space="0" w:color="auto"/>
            <w:left w:val="none" w:sz="0" w:space="0" w:color="auto"/>
            <w:bottom w:val="none" w:sz="0" w:space="0" w:color="auto"/>
            <w:right w:val="none" w:sz="0" w:space="0" w:color="auto"/>
          </w:divBdr>
        </w:div>
        <w:div w:id="111482014">
          <w:marLeft w:val="0"/>
          <w:marRight w:val="0"/>
          <w:marTop w:val="0"/>
          <w:marBottom w:val="0"/>
          <w:divBdr>
            <w:top w:val="none" w:sz="0" w:space="0" w:color="auto"/>
            <w:left w:val="none" w:sz="0" w:space="0" w:color="auto"/>
            <w:bottom w:val="none" w:sz="0" w:space="0" w:color="auto"/>
            <w:right w:val="none" w:sz="0" w:space="0" w:color="auto"/>
          </w:divBdr>
        </w:div>
        <w:div w:id="117258128">
          <w:marLeft w:val="0"/>
          <w:marRight w:val="0"/>
          <w:marTop w:val="0"/>
          <w:marBottom w:val="0"/>
          <w:divBdr>
            <w:top w:val="none" w:sz="0" w:space="0" w:color="auto"/>
            <w:left w:val="none" w:sz="0" w:space="0" w:color="auto"/>
            <w:bottom w:val="none" w:sz="0" w:space="0" w:color="auto"/>
            <w:right w:val="none" w:sz="0" w:space="0" w:color="auto"/>
          </w:divBdr>
        </w:div>
        <w:div w:id="181208669">
          <w:marLeft w:val="0"/>
          <w:marRight w:val="0"/>
          <w:marTop w:val="0"/>
          <w:marBottom w:val="0"/>
          <w:divBdr>
            <w:top w:val="none" w:sz="0" w:space="0" w:color="auto"/>
            <w:left w:val="none" w:sz="0" w:space="0" w:color="auto"/>
            <w:bottom w:val="none" w:sz="0" w:space="0" w:color="auto"/>
            <w:right w:val="none" w:sz="0" w:space="0" w:color="auto"/>
          </w:divBdr>
        </w:div>
        <w:div w:id="217908599">
          <w:marLeft w:val="0"/>
          <w:marRight w:val="0"/>
          <w:marTop w:val="0"/>
          <w:marBottom w:val="0"/>
          <w:divBdr>
            <w:top w:val="none" w:sz="0" w:space="0" w:color="auto"/>
            <w:left w:val="none" w:sz="0" w:space="0" w:color="auto"/>
            <w:bottom w:val="none" w:sz="0" w:space="0" w:color="auto"/>
            <w:right w:val="none" w:sz="0" w:space="0" w:color="auto"/>
          </w:divBdr>
        </w:div>
        <w:div w:id="246840791">
          <w:marLeft w:val="0"/>
          <w:marRight w:val="0"/>
          <w:marTop w:val="0"/>
          <w:marBottom w:val="0"/>
          <w:divBdr>
            <w:top w:val="none" w:sz="0" w:space="0" w:color="auto"/>
            <w:left w:val="none" w:sz="0" w:space="0" w:color="auto"/>
            <w:bottom w:val="none" w:sz="0" w:space="0" w:color="auto"/>
            <w:right w:val="none" w:sz="0" w:space="0" w:color="auto"/>
          </w:divBdr>
        </w:div>
        <w:div w:id="314720996">
          <w:marLeft w:val="0"/>
          <w:marRight w:val="0"/>
          <w:marTop w:val="0"/>
          <w:marBottom w:val="0"/>
          <w:divBdr>
            <w:top w:val="none" w:sz="0" w:space="0" w:color="auto"/>
            <w:left w:val="none" w:sz="0" w:space="0" w:color="auto"/>
            <w:bottom w:val="none" w:sz="0" w:space="0" w:color="auto"/>
            <w:right w:val="none" w:sz="0" w:space="0" w:color="auto"/>
          </w:divBdr>
        </w:div>
        <w:div w:id="359474063">
          <w:marLeft w:val="0"/>
          <w:marRight w:val="0"/>
          <w:marTop w:val="0"/>
          <w:marBottom w:val="0"/>
          <w:divBdr>
            <w:top w:val="none" w:sz="0" w:space="0" w:color="auto"/>
            <w:left w:val="none" w:sz="0" w:space="0" w:color="auto"/>
            <w:bottom w:val="none" w:sz="0" w:space="0" w:color="auto"/>
            <w:right w:val="none" w:sz="0" w:space="0" w:color="auto"/>
          </w:divBdr>
        </w:div>
        <w:div w:id="372389117">
          <w:marLeft w:val="0"/>
          <w:marRight w:val="0"/>
          <w:marTop w:val="0"/>
          <w:marBottom w:val="0"/>
          <w:divBdr>
            <w:top w:val="none" w:sz="0" w:space="0" w:color="auto"/>
            <w:left w:val="none" w:sz="0" w:space="0" w:color="auto"/>
            <w:bottom w:val="none" w:sz="0" w:space="0" w:color="auto"/>
            <w:right w:val="none" w:sz="0" w:space="0" w:color="auto"/>
          </w:divBdr>
        </w:div>
        <w:div w:id="409230550">
          <w:marLeft w:val="0"/>
          <w:marRight w:val="0"/>
          <w:marTop w:val="0"/>
          <w:marBottom w:val="0"/>
          <w:divBdr>
            <w:top w:val="none" w:sz="0" w:space="0" w:color="auto"/>
            <w:left w:val="none" w:sz="0" w:space="0" w:color="auto"/>
            <w:bottom w:val="none" w:sz="0" w:space="0" w:color="auto"/>
            <w:right w:val="none" w:sz="0" w:space="0" w:color="auto"/>
          </w:divBdr>
        </w:div>
        <w:div w:id="422722664">
          <w:marLeft w:val="0"/>
          <w:marRight w:val="0"/>
          <w:marTop w:val="0"/>
          <w:marBottom w:val="0"/>
          <w:divBdr>
            <w:top w:val="none" w:sz="0" w:space="0" w:color="auto"/>
            <w:left w:val="none" w:sz="0" w:space="0" w:color="auto"/>
            <w:bottom w:val="none" w:sz="0" w:space="0" w:color="auto"/>
            <w:right w:val="none" w:sz="0" w:space="0" w:color="auto"/>
          </w:divBdr>
        </w:div>
        <w:div w:id="487523053">
          <w:marLeft w:val="0"/>
          <w:marRight w:val="0"/>
          <w:marTop w:val="0"/>
          <w:marBottom w:val="0"/>
          <w:divBdr>
            <w:top w:val="none" w:sz="0" w:space="0" w:color="auto"/>
            <w:left w:val="none" w:sz="0" w:space="0" w:color="auto"/>
            <w:bottom w:val="none" w:sz="0" w:space="0" w:color="auto"/>
            <w:right w:val="none" w:sz="0" w:space="0" w:color="auto"/>
          </w:divBdr>
        </w:div>
        <w:div w:id="570430329">
          <w:marLeft w:val="0"/>
          <w:marRight w:val="0"/>
          <w:marTop w:val="0"/>
          <w:marBottom w:val="0"/>
          <w:divBdr>
            <w:top w:val="none" w:sz="0" w:space="0" w:color="auto"/>
            <w:left w:val="none" w:sz="0" w:space="0" w:color="auto"/>
            <w:bottom w:val="none" w:sz="0" w:space="0" w:color="auto"/>
            <w:right w:val="none" w:sz="0" w:space="0" w:color="auto"/>
          </w:divBdr>
        </w:div>
        <w:div w:id="681051650">
          <w:marLeft w:val="0"/>
          <w:marRight w:val="0"/>
          <w:marTop w:val="0"/>
          <w:marBottom w:val="0"/>
          <w:divBdr>
            <w:top w:val="none" w:sz="0" w:space="0" w:color="auto"/>
            <w:left w:val="none" w:sz="0" w:space="0" w:color="auto"/>
            <w:bottom w:val="none" w:sz="0" w:space="0" w:color="auto"/>
            <w:right w:val="none" w:sz="0" w:space="0" w:color="auto"/>
          </w:divBdr>
        </w:div>
        <w:div w:id="700203548">
          <w:marLeft w:val="0"/>
          <w:marRight w:val="0"/>
          <w:marTop w:val="0"/>
          <w:marBottom w:val="0"/>
          <w:divBdr>
            <w:top w:val="none" w:sz="0" w:space="0" w:color="auto"/>
            <w:left w:val="none" w:sz="0" w:space="0" w:color="auto"/>
            <w:bottom w:val="none" w:sz="0" w:space="0" w:color="auto"/>
            <w:right w:val="none" w:sz="0" w:space="0" w:color="auto"/>
          </w:divBdr>
        </w:div>
        <w:div w:id="729617668">
          <w:marLeft w:val="0"/>
          <w:marRight w:val="0"/>
          <w:marTop w:val="0"/>
          <w:marBottom w:val="0"/>
          <w:divBdr>
            <w:top w:val="none" w:sz="0" w:space="0" w:color="auto"/>
            <w:left w:val="none" w:sz="0" w:space="0" w:color="auto"/>
            <w:bottom w:val="none" w:sz="0" w:space="0" w:color="auto"/>
            <w:right w:val="none" w:sz="0" w:space="0" w:color="auto"/>
          </w:divBdr>
        </w:div>
        <w:div w:id="791286600">
          <w:marLeft w:val="0"/>
          <w:marRight w:val="0"/>
          <w:marTop w:val="0"/>
          <w:marBottom w:val="0"/>
          <w:divBdr>
            <w:top w:val="none" w:sz="0" w:space="0" w:color="auto"/>
            <w:left w:val="none" w:sz="0" w:space="0" w:color="auto"/>
            <w:bottom w:val="none" w:sz="0" w:space="0" w:color="auto"/>
            <w:right w:val="none" w:sz="0" w:space="0" w:color="auto"/>
          </w:divBdr>
        </w:div>
        <w:div w:id="798493441">
          <w:marLeft w:val="0"/>
          <w:marRight w:val="0"/>
          <w:marTop w:val="0"/>
          <w:marBottom w:val="0"/>
          <w:divBdr>
            <w:top w:val="none" w:sz="0" w:space="0" w:color="auto"/>
            <w:left w:val="none" w:sz="0" w:space="0" w:color="auto"/>
            <w:bottom w:val="none" w:sz="0" w:space="0" w:color="auto"/>
            <w:right w:val="none" w:sz="0" w:space="0" w:color="auto"/>
          </w:divBdr>
        </w:div>
        <w:div w:id="812212993">
          <w:marLeft w:val="0"/>
          <w:marRight w:val="0"/>
          <w:marTop w:val="0"/>
          <w:marBottom w:val="0"/>
          <w:divBdr>
            <w:top w:val="none" w:sz="0" w:space="0" w:color="auto"/>
            <w:left w:val="none" w:sz="0" w:space="0" w:color="auto"/>
            <w:bottom w:val="none" w:sz="0" w:space="0" w:color="auto"/>
            <w:right w:val="none" w:sz="0" w:space="0" w:color="auto"/>
          </w:divBdr>
        </w:div>
        <w:div w:id="824324949">
          <w:marLeft w:val="0"/>
          <w:marRight w:val="0"/>
          <w:marTop w:val="0"/>
          <w:marBottom w:val="0"/>
          <w:divBdr>
            <w:top w:val="none" w:sz="0" w:space="0" w:color="auto"/>
            <w:left w:val="none" w:sz="0" w:space="0" w:color="auto"/>
            <w:bottom w:val="none" w:sz="0" w:space="0" w:color="auto"/>
            <w:right w:val="none" w:sz="0" w:space="0" w:color="auto"/>
          </w:divBdr>
        </w:div>
        <w:div w:id="826825158">
          <w:marLeft w:val="0"/>
          <w:marRight w:val="0"/>
          <w:marTop w:val="0"/>
          <w:marBottom w:val="0"/>
          <w:divBdr>
            <w:top w:val="none" w:sz="0" w:space="0" w:color="auto"/>
            <w:left w:val="none" w:sz="0" w:space="0" w:color="auto"/>
            <w:bottom w:val="none" w:sz="0" w:space="0" w:color="auto"/>
            <w:right w:val="none" w:sz="0" w:space="0" w:color="auto"/>
          </w:divBdr>
        </w:div>
        <w:div w:id="839389874">
          <w:marLeft w:val="0"/>
          <w:marRight w:val="0"/>
          <w:marTop w:val="0"/>
          <w:marBottom w:val="0"/>
          <w:divBdr>
            <w:top w:val="none" w:sz="0" w:space="0" w:color="auto"/>
            <w:left w:val="none" w:sz="0" w:space="0" w:color="auto"/>
            <w:bottom w:val="none" w:sz="0" w:space="0" w:color="auto"/>
            <w:right w:val="none" w:sz="0" w:space="0" w:color="auto"/>
          </w:divBdr>
        </w:div>
        <w:div w:id="845245431">
          <w:marLeft w:val="0"/>
          <w:marRight w:val="0"/>
          <w:marTop w:val="0"/>
          <w:marBottom w:val="0"/>
          <w:divBdr>
            <w:top w:val="none" w:sz="0" w:space="0" w:color="auto"/>
            <w:left w:val="none" w:sz="0" w:space="0" w:color="auto"/>
            <w:bottom w:val="none" w:sz="0" w:space="0" w:color="auto"/>
            <w:right w:val="none" w:sz="0" w:space="0" w:color="auto"/>
          </w:divBdr>
        </w:div>
        <w:div w:id="891846094">
          <w:marLeft w:val="0"/>
          <w:marRight w:val="0"/>
          <w:marTop w:val="0"/>
          <w:marBottom w:val="0"/>
          <w:divBdr>
            <w:top w:val="none" w:sz="0" w:space="0" w:color="auto"/>
            <w:left w:val="none" w:sz="0" w:space="0" w:color="auto"/>
            <w:bottom w:val="none" w:sz="0" w:space="0" w:color="auto"/>
            <w:right w:val="none" w:sz="0" w:space="0" w:color="auto"/>
          </w:divBdr>
        </w:div>
        <w:div w:id="910432494">
          <w:marLeft w:val="0"/>
          <w:marRight w:val="0"/>
          <w:marTop w:val="0"/>
          <w:marBottom w:val="0"/>
          <w:divBdr>
            <w:top w:val="none" w:sz="0" w:space="0" w:color="auto"/>
            <w:left w:val="none" w:sz="0" w:space="0" w:color="auto"/>
            <w:bottom w:val="none" w:sz="0" w:space="0" w:color="auto"/>
            <w:right w:val="none" w:sz="0" w:space="0" w:color="auto"/>
          </w:divBdr>
        </w:div>
        <w:div w:id="930771046">
          <w:marLeft w:val="0"/>
          <w:marRight w:val="0"/>
          <w:marTop w:val="0"/>
          <w:marBottom w:val="0"/>
          <w:divBdr>
            <w:top w:val="none" w:sz="0" w:space="0" w:color="auto"/>
            <w:left w:val="none" w:sz="0" w:space="0" w:color="auto"/>
            <w:bottom w:val="none" w:sz="0" w:space="0" w:color="auto"/>
            <w:right w:val="none" w:sz="0" w:space="0" w:color="auto"/>
          </w:divBdr>
        </w:div>
        <w:div w:id="1013843863">
          <w:marLeft w:val="0"/>
          <w:marRight w:val="0"/>
          <w:marTop w:val="0"/>
          <w:marBottom w:val="0"/>
          <w:divBdr>
            <w:top w:val="none" w:sz="0" w:space="0" w:color="auto"/>
            <w:left w:val="none" w:sz="0" w:space="0" w:color="auto"/>
            <w:bottom w:val="none" w:sz="0" w:space="0" w:color="auto"/>
            <w:right w:val="none" w:sz="0" w:space="0" w:color="auto"/>
          </w:divBdr>
        </w:div>
        <w:div w:id="1014267474">
          <w:marLeft w:val="0"/>
          <w:marRight w:val="0"/>
          <w:marTop w:val="0"/>
          <w:marBottom w:val="0"/>
          <w:divBdr>
            <w:top w:val="none" w:sz="0" w:space="0" w:color="auto"/>
            <w:left w:val="none" w:sz="0" w:space="0" w:color="auto"/>
            <w:bottom w:val="none" w:sz="0" w:space="0" w:color="auto"/>
            <w:right w:val="none" w:sz="0" w:space="0" w:color="auto"/>
          </w:divBdr>
        </w:div>
        <w:div w:id="1025061117">
          <w:marLeft w:val="0"/>
          <w:marRight w:val="0"/>
          <w:marTop w:val="0"/>
          <w:marBottom w:val="0"/>
          <w:divBdr>
            <w:top w:val="none" w:sz="0" w:space="0" w:color="auto"/>
            <w:left w:val="none" w:sz="0" w:space="0" w:color="auto"/>
            <w:bottom w:val="none" w:sz="0" w:space="0" w:color="auto"/>
            <w:right w:val="none" w:sz="0" w:space="0" w:color="auto"/>
          </w:divBdr>
        </w:div>
        <w:div w:id="1060713696">
          <w:marLeft w:val="0"/>
          <w:marRight w:val="0"/>
          <w:marTop w:val="0"/>
          <w:marBottom w:val="0"/>
          <w:divBdr>
            <w:top w:val="none" w:sz="0" w:space="0" w:color="auto"/>
            <w:left w:val="none" w:sz="0" w:space="0" w:color="auto"/>
            <w:bottom w:val="none" w:sz="0" w:space="0" w:color="auto"/>
            <w:right w:val="none" w:sz="0" w:space="0" w:color="auto"/>
          </w:divBdr>
        </w:div>
        <w:div w:id="1065026696">
          <w:marLeft w:val="0"/>
          <w:marRight w:val="0"/>
          <w:marTop w:val="0"/>
          <w:marBottom w:val="0"/>
          <w:divBdr>
            <w:top w:val="none" w:sz="0" w:space="0" w:color="auto"/>
            <w:left w:val="none" w:sz="0" w:space="0" w:color="auto"/>
            <w:bottom w:val="none" w:sz="0" w:space="0" w:color="auto"/>
            <w:right w:val="none" w:sz="0" w:space="0" w:color="auto"/>
          </w:divBdr>
        </w:div>
        <w:div w:id="1070080288">
          <w:marLeft w:val="0"/>
          <w:marRight w:val="0"/>
          <w:marTop w:val="0"/>
          <w:marBottom w:val="0"/>
          <w:divBdr>
            <w:top w:val="none" w:sz="0" w:space="0" w:color="auto"/>
            <w:left w:val="none" w:sz="0" w:space="0" w:color="auto"/>
            <w:bottom w:val="none" w:sz="0" w:space="0" w:color="auto"/>
            <w:right w:val="none" w:sz="0" w:space="0" w:color="auto"/>
          </w:divBdr>
        </w:div>
        <w:div w:id="1102535899">
          <w:marLeft w:val="0"/>
          <w:marRight w:val="0"/>
          <w:marTop w:val="0"/>
          <w:marBottom w:val="0"/>
          <w:divBdr>
            <w:top w:val="none" w:sz="0" w:space="0" w:color="auto"/>
            <w:left w:val="none" w:sz="0" w:space="0" w:color="auto"/>
            <w:bottom w:val="none" w:sz="0" w:space="0" w:color="auto"/>
            <w:right w:val="none" w:sz="0" w:space="0" w:color="auto"/>
          </w:divBdr>
        </w:div>
        <w:div w:id="1131747464">
          <w:marLeft w:val="0"/>
          <w:marRight w:val="0"/>
          <w:marTop w:val="0"/>
          <w:marBottom w:val="0"/>
          <w:divBdr>
            <w:top w:val="none" w:sz="0" w:space="0" w:color="auto"/>
            <w:left w:val="none" w:sz="0" w:space="0" w:color="auto"/>
            <w:bottom w:val="none" w:sz="0" w:space="0" w:color="auto"/>
            <w:right w:val="none" w:sz="0" w:space="0" w:color="auto"/>
          </w:divBdr>
        </w:div>
        <w:div w:id="1181820738">
          <w:marLeft w:val="0"/>
          <w:marRight w:val="0"/>
          <w:marTop w:val="0"/>
          <w:marBottom w:val="0"/>
          <w:divBdr>
            <w:top w:val="none" w:sz="0" w:space="0" w:color="auto"/>
            <w:left w:val="none" w:sz="0" w:space="0" w:color="auto"/>
            <w:bottom w:val="none" w:sz="0" w:space="0" w:color="auto"/>
            <w:right w:val="none" w:sz="0" w:space="0" w:color="auto"/>
          </w:divBdr>
        </w:div>
        <w:div w:id="1185288246">
          <w:marLeft w:val="0"/>
          <w:marRight w:val="0"/>
          <w:marTop w:val="0"/>
          <w:marBottom w:val="0"/>
          <w:divBdr>
            <w:top w:val="none" w:sz="0" w:space="0" w:color="auto"/>
            <w:left w:val="none" w:sz="0" w:space="0" w:color="auto"/>
            <w:bottom w:val="none" w:sz="0" w:space="0" w:color="auto"/>
            <w:right w:val="none" w:sz="0" w:space="0" w:color="auto"/>
          </w:divBdr>
        </w:div>
        <w:div w:id="1211066432">
          <w:marLeft w:val="0"/>
          <w:marRight w:val="0"/>
          <w:marTop w:val="0"/>
          <w:marBottom w:val="0"/>
          <w:divBdr>
            <w:top w:val="none" w:sz="0" w:space="0" w:color="auto"/>
            <w:left w:val="none" w:sz="0" w:space="0" w:color="auto"/>
            <w:bottom w:val="none" w:sz="0" w:space="0" w:color="auto"/>
            <w:right w:val="none" w:sz="0" w:space="0" w:color="auto"/>
          </w:divBdr>
        </w:div>
        <w:div w:id="1282493736">
          <w:marLeft w:val="0"/>
          <w:marRight w:val="0"/>
          <w:marTop w:val="0"/>
          <w:marBottom w:val="0"/>
          <w:divBdr>
            <w:top w:val="none" w:sz="0" w:space="0" w:color="auto"/>
            <w:left w:val="none" w:sz="0" w:space="0" w:color="auto"/>
            <w:bottom w:val="none" w:sz="0" w:space="0" w:color="auto"/>
            <w:right w:val="none" w:sz="0" w:space="0" w:color="auto"/>
          </w:divBdr>
        </w:div>
        <w:div w:id="1287929438">
          <w:marLeft w:val="0"/>
          <w:marRight w:val="0"/>
          <w:marTop w:val="0"/>
          <w:marBottom w:val="0"/>
          <w:divBdr>
            <w:top w:val="none" w:sz="0" w:space="0" w:color="auto"/>
            <w:left w:val="none" w:sz="0" w:space="0" w:color="auto"/>
            <w:bottom w:val="none" w:sz="0" w:space="0" w:color="auto"/>
            <w:right w:val="none" w:sz="0" w:space="0" w:color="auto"/>
          </w:divBdr>
        </w:div>
        <w:div w:id="1342313684">
          <w:marLeft w:val="0"/>
          <w:marRight w:val="0"/>
          <w:marTop w:val="0"/>
          <w:marBottom w:val="0"/>
          <w:divBdr>
            <w:top w:val="none" w:sz="0" w:space="0" w:color="auto"/>
            <w:left w:val="none" w:sz="0" w:space="0" w:color="auto"/>
            <w:bottom w:val="none" w:sz="0" w:space="0" w:color="auto"/>
            <w:right w:val="none" w:sz="0" w:space="0" w:color="auto"/>
          </w:divBdr>
        </w:div>
        <w:div w:id="1354109482">
          <w:marLeft w:val="0"/>
          <w:marRight w:val="0"/>
          <w:marTop w:val="0"/>
          <w:marBottom w:val="0"/>
          <w:divBdr>
            <w:top w:val="none" w:sz="0" w:space="0" w:color="auto"/>
            <w:left w:val="none" w:sz="0" w:space="0" w:color="auto"/>
            <w:bottom w:val="none" w:sz="0" w:space="0" w:color="auto"/>
            <w:right w:val="none" w:sz="0" w:space="0" w:color="auto"/>
          </w:divBdr>
        </w:div>
        <w:div w:id="1370834906">
          <w:marLeft w:val="0"/>
          <w:marRight w:val="0"/>
          <w:marTop w:val="0"/>
          <w:marBottom w:val="0"/>
          <w:divBdr>
            <w:top w:val="none" w:sz="0" w:space="0" w:color="auto"/>
            <w:left w:val="none" w:sz="0" w:space="0" w:color="auto"/>
            <w:bottom w:val="none" w:sz="0" w:space="0" w:color="auto"/>
            <w:right w:val="none" w:sz="0" w:space="0" w:color="auto"/>
          </w:divBdr>
        </w:div>
        <w:div w:id="1396515134">
          <w:marLeft w:val="0"/>
          <w:marRight w:val="0"/>
          <w:marTop w:val="0"/>
          <w:marBottom w:val="0"/>
          <w:divBdr>
            <w:top w:val="none" w:sz="0" w:space="0" w:color="auto"/>
            <w:left w:val="none" w:sz="0" w:space="0" w:color="auto"/>
            <w:bottom w:val="none" w:sz="0" w:space="0" w:color="auto"/>
            <w:right w:val="none" w:sz="0" w:space="0" w:color="auto"/>
          </w:divBdr>
        </w:div>
        <w:div w:id="1455906029">
          <w:marLeft w:val="0"/>
          <w:marRight w:val="0"/>
          <w:marTop w:val="0"/>
          <w:marBottom w:val="0"/>
          <w:divBdr>
            <w:top w:val="none" w:sz="0" w:space="0" w:color="auto"/>
            <w:left w:val="none" w:sz="0" w:space="0" w:color="auto"/>
            <w:bottom w:val="none" w:sz="0" w:space="0" w:color="auto"/>
            <w:right w:val="none" w:sz="0" w:space="0" w:color="auto"/>
          </w:divBdr>
        </w:div>
        <w:div w:id="1500122140">
          <w:marLeft w:val="0"/>
          <w:marRight w:val="0"/>
          <w:marTop w:val="0"/>
          <w:marBottom w:val="0"/>
          <w:divBdr>
            <w:top w:val="none" w:sz="0" w:space="0" w:color="auto"/>
            <w:left w:val="none" w:sz="0" w:space="0" w:color="auto"/>
            <w:bottom w:val="none" w:sz="0" w:space="0" w:color="auto"/>
            <w:right w:val="none" w:sz="0" w:space="0" w:color="auto"/>
          </w:divBdr>
        </w:div>
        <w:div w:id="1528637422">
          <w:marLeft w:val="0"/>
          <w:marRight w:val="0"/>
          <w:marTop w:val="0"/>
          <w:marBottom w:val="0"/>
          <w:divBdr>
            <w:top w:val="none" w:sz="0" w:space="0" w:color="auto"/>
            <w:left w:val="none" w:sz="0" w:space="0" w:color="auto"/>
            <w:bottom w:val="none" w:sz="0" w:space="0" w:color="auto"/>
            <w:right w:val="none" w:sz="0" w:space="0" w:color="auto"/>
          </w:divBdr>
        </w:div>
        <w:div w:id="1533111839">
          <w:marLeft w:val="0"/>
          <w:marRight w:val="0"/>
          <w:marTop w:val="0"/>
          <w:marBottom w:val="0"/>
          <w:divBdr>
            <w:top w:val="none" w:sz="0" w:space="0" w:color="auto"/>
            <w:left w:val="none" w:sz="0" w:space="0" w:color="auto"/>
            <w:bottom w:val="none" w:sz="0" w:space="0" w:color="auto"/>
            <w:right w:val="none" w:sz="0" w:space="0" w:color="auto"/>
          </w:divBdr>
        </w:div>
        <w:div w:id="1590625832">
          <w:marLeft w:val="0"/>
          <w:marRight w:val="0"/>
          <w:marTop w:val="0"/>
          <w:marBottom w:val="0"/>
          <w:divBdr>
            <w:top w:val="none" w:sz="0" w:space="0" w:color="auto"/>
            <w:left w:val="none" w:sz="0" w:space="0" w:color="auto"/>
            <w:bottom w:val="none" w:sz="0" w:space="0" w:color="auto"/>
            <w:right w:val="none" w:sz="0" w:space="0" w:color="auto"/>
          </w:divBdr>
        </w:div>
        <w:div w:id="1635403487">
          <w:marLeft w:val="0"/>
          <w:marRight w:val="0"/>
          <w:marTop w:val="0"/>
          <w:marBottom w:val="0"/>
          <w:divBdr>
            <w:top w:val="none" w:sz="0" w:space="0" w:color="auto"/>
            <w:left w:val="none" w:sz="0" w:space="0" w:color="auto"/>
            <w:bottom w:val="none" w:sz="0" w:space="0" w:color="auto"/>
            <w:right w:val="none" w:sz="0" w:space="0" w:color="auto"/>
          </w:divBdr>
        </w:div>
        <w:div w:id="1671785149">
          <w:marLeft w:val="0"/>
          <w:marRight w:val="0"/>
          <w:marTop w:val="0"/>
          <w:marBottom w:val="0"/>
          <w:divBdr>
            <w:top w:val="none" w:sz="0" w:space="0" w:color="auto"/>
            <w:left w:val="none" w:sz="0" w:space="0" w:color="auto"/>
            <w:bottom w:val="none" w:sz="0" w:space="0" w:color="auto"/>
            <w:right w:val="none" w:sz="0" w:space="0" w:color="auto"/>
          </w:divBdr>
        </w:div>
        <w:div w:id="1700086301">
          <w:marLeft w:val="0"/>
          <w:marRight w:val="0"/>
          <w:marTop w:val="0"/>
          <w:marBottom w:val="0"/>
          <w:divBdr>
            <w:top w:val="none" w:sz="0" w:space="0" w:color="auto"/>
            <w:left w:val="none" w:sz="0" w:space="0" w:color="auto"/>
            <w:bottom w:val="none" w:sz="0" w:space="0" w:color="auto"/>
            <w:right w:val="none" w:sz="0" w:space="0" w:color="auto"/>
          </w:divBdr>
        </w:div>
        <w:div w:id="1722820563">
          <w:marLeft w:val="0"/>
          <w:marRight w:val="0"/>
          <w:marTop w:val="0"/>
          <w:marBottom w:val="0"/>
          <w:divBdr>
            <w:top w:val="none" w:sz="0" w:space="0" w:color="auto"/>
            <w:left w:val="none" w:sz="0" w:space="0" w:color="auto"/>
            <w:bottom w:val="none" w:sz="0" w:space="0" w:color="auto"/>
            <w:right w:val="none" w:sz="0" w:space="0" w:color="auto"/>
          </w:divBdr>
        </w:div>
        <w:div w:id="1815025005">
          <w:marLeft w:val="0"/>
          <w:marRight w:val="0"/>
          <w:marTop w:val="0"/>
          <w:marBottom w:val="0"/>
          <w:divBdr>
            <w:top w:val="none" w:sz="0" w:space="0" w:color="auto"/>
            <w:left w:val="none" w:sz="0" w:space="0" w:color="auto"/>
            <w:bottom w:val="none" w:sz="0" w:space="0" w:color="auto"/>
            <w:right w:val="none" w:sz="0" w:space="0" w:color="auto"/>
          </w:divBdr>
        </w:div>
        <w:div w:id="1823617546">
          <w:marLeft w:val="0"/>
          <w:marRight w:val="0"/>
          <w:marTop w:val="0"/>
          <w:marBottom w:val="0"/>
          <w:divBdr>
            <w:top w:val="none" w:sz="0" w:space="0" w:color="auto"/>
            <w:left w:val="none" w:sz="0" w:space="0" w:color="auto"/>
            <w:bottom w:val="none" w:sz="0" w:space="0" w:color="auto"/>
            <w:right w:val="none" w:sz="0" w:space="0" w:color="auto"/>
          </w:divBdr>
        </w:div>
        <w:div w:id="1847789275">
          <w:marLeft w:val="0"/>
          <w:marRight w:val="0"/>
          <w:marTop w:val="0"/>
          <w:marBottom w:val="0"/>
          <w:divBdr>
            <w:top w:val="none" w:sz="0" w:space="0" w:color="auto"/>
            <w:left w:val="none" w:sz="0" w:space="0" w:color="auto"/>
            <w:bottom w:val="none" w:sz="0" w:space="0" w:color="auto"/>
            <w:right w:val="none" w:sz="0" w:space="0" w:color="auto"/>
          </w:divBdr>
        </w:div>
        <w:div w:id="1964770992">
          <w:marLeft w:val="0"/>
          <w:marRight w:val="0"/>
          <w:marTop w:val="0"/>
          <w:marBottom w:val="0"/>
          <w:divBdr>
            <w:top w:val="none" w:sz="0" w:space="0" w:color="auto"/>
            <w:left w:val="none" w:sz="0" w:space="0" w:color="auto"/>
            <w:bottom w:val="none" w:sz="0" w:space="0" w:color="auto"/>
            <w:right w:val="none" w:sz="0" w:space="0" w:color="auto"/>
          </w:divBdr>
        </w:div>
        <w:div w:id="2030175944">
          <w:marLeft w:val="0"/>
          <w:marRight w:val="0"/>
          <w:marTop w:val="0"/>
          <w:marBottom w:val="0"/>
          <w:divBdr>
            <w:top w:val="none" w:sz="0" w:space="0" w:color="auto"/>
            <w:left w:val="none" w:sz="0" w:space="0" w:color="auto"/>
            <w:bottom w:val="none" w:sz="0" w:space="0" w:color="auto"/>
            <w:right w:val="none" w:sz="0" w:space="0" w:color="auto"/>
          </w:divBdr>
        </w:div>
        <w:div w:id="2083477392">
          <w:marLeft w:val="0"/>
          <w:marRight w:val="0"/>
          <w:marTop w:val="0"/>
          <w:marBottom w:val="0"/>
          <w:divBdr>
            <w:top w:val="none" w:sz="0" w:space="0" w:color="auto"/>
            <w:left w:val="none" w:sz="0" w:space="0" w:color="auto"/>
            <w:bottom w:val="none" w:sz="0" w:space="0" w:color="auto"/>
            <w:right w:val="none" w:sz="0" w:space="0" w:color="auto"/>
          </w:divBdr>
        </w:div>
      </w:divsChild>
    </w:div>
    <w:div w:id="172305320">
      <w:bodyDiv w:val="1"/>
      <w:marLeft w:val="0"/>
      <w:marRight w:val="0"/>
      <w:marTop w:val="0"/>
      <w:marBottom w:val="0"/>
      <w:divBdr>
        <w:top w:val="none" w:sz="0" w:space="0" w:color="auto"/>
        <w:left w:val="none" w:sz="0" w:space="0" w:color="auto"/>
        <w:bottom w:val="none" w:sz="0" w:space="0" w:color="auto"/>
        <w:right w:val="none" w:sz="0" w:space="0" w:color="auto"/>
      </w:divBdr>
      <w:divsChild>
        <w:div w:id="29189970">
          <w:marLeft w:val="0"/>
          <w:marRight w:val="0"/>
          <w:marTop w:val="0"/>
          <w:marBottom w:val="0"/>
          <w:divBdr>
            <w:top w:val="none" w:sz="0" w:space="0" w:color="auto"/>
            <w:left w:val="none" w:sz="0" w:space="0" w:color="auto"/>
            <w:bottom w:val="none" w:sz="0" w:space="0" w:color="auto"/>
            <w:right w:val="none" w:sz="0" w:space="0" w:color="auto"/>
          </w:divBdr>
        </w:div>
        <w:div w:id="30420714">
          <w:marLeft w:val="0"/>
          <w:marRight w:val="0"/>
          <w:marTop w:val="0"/>
          <w:marBottom w:val="0"/>
          <w:divBdr>
            <w:top w:val="none" w:sz="0" w:space="0" w:color="auto"/>
            <w:left w:val="none" w:sz="0" w:space="0" w:color="auto"/>
            <w:bottom w:val="none" w:sz="0" w:space="0" w:color="auto"/>
            <w:right w:val="none" w:sz="0" w:space="0" w:color="auto"/>
          </w:divBdr>
        </w:div>
        <w:div w:id="40373397">
          <w:marLeft w:val="0"/>
          <w:marRight w:val="0"/>
          <w:marTop w:val="0"/>
          <w:marBottom w:val="0"/>
          <w:divBdr>
            <w:top w:val="none" w:sz="0" w:space="0" w:color="auto"/>
            <w:left w:val="none" w:sz="0" w:space="0" w:color="auto"/>
            <w:bottom w:val="none" w:sz="0" w:space="0" w:color="auto"/>
            <w:right w:val="none" w:sz="0" w:space="0" w:color="auto"/>
          </w:divBdr>
        </w:div>
        <w:div w:id="95446936">
          <w:marLeft w:val="0"/>
          <w:marRight w:val="0"/>
          <w:marTop w:val="0"/>
          <w:marBottom w:val="0"/>
          <w:divBdr>
            <w:top w:val="none" w:sz="0" w:space="0" w:color="auto"/>
            <w:left w:val="none" w:sz="0" w:space="0" w:color="auto"/>
            <w:bottom w:val="none" w:sz="0" w:space="0" w:color="auto"/>
            <w:right w:val="none" w:sz="0" w:space="0" w:color="auto"/>
          </w:divBdr>
        </w:div>
        <w:div w:id="145325862">
          <w:marLeft w:val="0"/>
          <w:marRight w:val="0"/>
          <w:marTop w:val="0"/>
          <w:marBottom w:val="0"/>
          <w:divBdr>
            <w:top w:val="none" w:sz="0" w:space="0" w:color="auto"/>
            <w:left w:val="none" w:sz="0" w:space="0" w:color="auto"/>
            <w:bottom w:val="none" w:sz="0" w:space="0" w:color="auto"/>
            <w:right w:val="none" w:sz="0" w:space="0" w:color="auto"/>
          </w:divBdr>
        </w:div>
        <w:div w:id="165753363">
          <w:marLeft w:val="0"/>
          <w:marRight w:val="0"/>
          <w:marTop w:val="0"/>
          <w:marBottom w:val="0"/>
          <w:divBdr>
            <w:top w:val="none" w:sz="0" w:space="0" w:color="auto"/>
            <w:left w:val="none" w:sz="0" w:space="0" w:color="auto"/>
            <w:bottom w:val="none" w:sz="0" w:space="0" w:color="auto"/>
            <w:right w:val="none" w:sz="0" w:space="0" w:color="auto"/>
          </w:divBdr>
        </w:div>
        <w:div w:id="185948155">
          <w:marLeft w:val="0"/>
          <w:marRight w:val="0"/>
          <w:marTop w:val="0"/>
          <w:marBottom w:val="0"/>
          <w:divBdr>
            <w:top w:val="none" w:sz="0" w:space="0" w:color="auto"/>
            <w:left w:val="none" w:sz="0" w:space="0" w:color="auto"/>
            <w:bottom w:val="none" w:sz="0" w:space="0" w:color="auto"/>
            <w:right w:val="none" w:sz="0" w:space="0" w:color="auto"/>
          </w:divBdr>
        </w:div>
        <w:div w:id="208153792">
          <w:marLeft w:val="0"/>
          <w:marRight w:val="0"/>
          <w:marTop w:val="0"/>
          <w:marBottom w:val="0"/>
          <w:divBdr>
            <w:top w:val="none" w:sz="0" w:space="0" w:color="auto"/>
            <w:left w:val="none" w:sz="0" w:space="0" w:color="auto"/>
            <w:bottom w:val="none" w:sz="0" w:space="0" w:color="auto"/>
            <w:right w:val="none" w:sz="0" w:space="0" w:color="auto"/>
          </w:divBdr>
        </w:div>
        <w:div w:id="217937798">
          <w:marLeft w:val="0"/>
          <w:marRight w:val="0"/>
          <w:marTop w:val="0"/>
          <w:marBottom w:val="0"/>
          <w:divBdr>
            <w:top w:val="none" w:sz="0" w:space="0" w:color="auto"/>
            <w:left w:val="none" w:sz="0" w:space="0" w:color="auto"/>
            <w:bottom w:val="none" w:sz="0" w:space="0" w:color="auto"/>
            <w:right w:val="none" w:sz="0" w:space="0" w:color="auto"/>
          </w:divBdr>
        </w:div>
        <w:div w:id="259528379">
          <w:marLeft w:val="0"/>
          <w:marRight w:val="0"/>
          <w:marTop w:val="0"/>
          <w:marBottom w:val="0"/>
          <w:divBdr>
            <w:top w:val="none" w:sz="0" w:space="0" w:color="auto"/>
            <w:left w:val="none" w:sz="0" w:space="0" w:color="auto"/>
            <w:bottom w:val="none" w:sz="0" w:space="0" w:color="auto"/>
            <w:right w:val="none" w:sz="0" w:space="0" w:color="auto"/>
          </w:divBdr>
        </w:div>
        <w:div w:id="269555483">
          <w:marLeft w:val="0"/>
          <w:marRight w:val="0"/>
          <w:marTop w:val="0"/>
          <w:marBottom w:val="0"/>
          <w:divBdr>
            <w:top w:val="none" w:sz="0" w:space="0" w:color="auto"/>
            <w:left w:val="none" w:sz="0" w:space="0" w:color="auto"/>
            <w:bottom w:val="none" w:sz="0" w:space="0" w:color="auto"/>
            <w:right w:val="none" w:sz="0" w:space="0" w:color="auto"/>
          </w:divBdr>
        </w:div>
        <w:div w:id="295379686">
          <w:marLeft w:val="0"/>
          <w:marRight w:val="0"/>
          <w:marTop w:val="0"/>
          <w:marBottom w:val="0"/>
          <w:divBdr>
            <w:top w:val="none" w:sz="0" w:space="0" w:color="auto"/>
            <w:left w:val="none" w:sz="0" w:space="0" w:color="auto"/>
            <w:bottom w:val="none" w:sz="0" w:space="0" w:color="auto"/>
            <w:right w:val="none" w:sz="0" w:space="0" w:color="auto"/>
          </w:divBdr>
        </w:div>
        <w:div w:id="510334246">
          <w:marLeft w:val="0"/>
          <w:marRight w:val="0"/>
          <w:marTop w:val="0"/>
          <w:marBottom w:val="0"/>
          <w:divBdr>
            <w:top w:val="none" w:sz="0" w:space="0" w:color="auto"/>
            <w:left w:val="none" w:sz="0" w:space="0" w:color="auto"/>
            <w:bottom w:val="none" w:sz="0" w:space="0" w:color="auto"/>
            <w:right w:val="none" w:sz="0" w:space="0" w:color="auto"/>
          </w:divBdr>
        </w:div>
        <w:div w:id="537545434">
          <w:marLeft w:val="0"/>
          <w:marRight w:val="0"/>
          <w:marTop w:val="0"/>
          <w:marBottom w:val="0"/>
          <w:divBdr>
            <w:top w:val="none" w:sz="0" w:space="0" w:color="auto"/>
            <w:left w:val="none" w:sz="0" w:space="0" w:color="auto"/>
            <w:bottom w:val="none" w:sz="0" w:space="0" w:color="auto"/>
            <w:right w:val="none" w:sz="0" w:space="0" w:color="auto"/>
          </w:divBdr>
        </w:div>
        <w:div w:id="555437968">
          <w:marLeft w:val="0"/>
          <w:marRight w:val="0"/>
          <w:marTop w:val="0"/>
          <w:marBottom w:val="0"/>
          <w:divBdr>
            <w:top w:val="none" w:sz="0" w:space="0" w:color="auto"/>
            <w:left w:val="none" w:sz="0" w:space="0" w:color="auto"/>
            <w:bottom w:val="none" w:sz="0" w:space="0" w:color="auto"/>
            <w:right w:val="none" w:sz="0" w:space="0" w:color="auto"/>
          </w:divBdr>
        </w:div>
        <w:div w:id="569652257">
          <w:marLeft w:val="0"/>
          <w:marRight w:val="0"/>
          <w:marTop w:val="0"/>
          <w:marBottom w:val="0"/>
          <w:divBdr>
            <w:top w:val="none" w:sz="0" w:space="0" w:color="auto"/>
            <w:left w:val="none" w:sz="0" w:space="0" w:color="auto"/>
            <w:bottom w:val="none" w:sz="0" w:space="0" w:color="auto"/>
            <w:right w:val="none" w:sz="0" w:space="0" w:color="auto"/>
          </w:divBdr>
        </w:div>
        <w:div w:id="570581913">
          <w:marLeft w:val="0"/>
          <w:marRight w:val="0"/>
          <w:marTop w:val="0"/>
          <w:marBottom w:val="0"/>
          <w:divBdr>
            <w:top w:val="none" w:sz="0" w:space="0" w:color="auto"/>
            <w:left w:val="none" w:sz="0" w:space="0" w:color="auto"/>
            <w:bottom w:val="none" w:sz="0" w:space="0" w:color="auto"/>
            <w:right w:val="none" w:sz="0" w:space="0" w:color="auto"/>
          </w:divBdr>
        </w:div>
        <w:div w:id="573584552">
          <w:marLeft w:val="0"/>
          <w:marRight w:val="0"/>
          <w:marTop w:val="0"/>
          <w:marBottom w:val="0"/>
          <w:divBdr>
            <w:top w:val="none" w:sz="0" w:space="0" w:color="auto"/>
            <w:left w:val="none" w:sz="0" w:space="0" w:color="auto"/>
            <w:bottom w:val="none" w:sz="0" w:space="0" w:color="auto"/>
            <w:right w:val="none" w:sz="0" w:space="0" w:color="auto"/>
          </w:divBdr>
        </w:div>
        <w:div w:id="587469712">
          <w:marLeft w:val="0"/>
          <w:marRight w:val="0"/>
          <w:marTop w:val="0"/>
          <w:marBottom w:val="0"/>
          <w:divBdr>
            <w:top w:val="none" w:sz="0" w:space="0" w:color="auto"/>
            <w:left w:val="none" w:sz="0" w:space="0" w:color="auto"/>
            <w:bottom w:val="none" w:sz="0" w:space="0" w:color="auto"/>
            <w:right w:val="none" w:sz="0" w:space="0" w:color="auto"/>
          </w:divBdr>
        </w:div>
        <w:div w:id="661085967">
          <w:marLeft w:val="0"/>
          <w:marRight w:val="0"/>
          <w:marTop w:val="0"/>
          <w:marBottom w:val="0"/>
          <w:divBdr>
            <w:top w:val="none" w:sz="0" w:space="0" w:color="auto"/>
            <w:left w:val="none" w:sz="0" w:space="0" w:color="auto"/>
            <w:bottom w:val="none" w:sz="0" w:space="0" w:color="auto"/>
            <w:right w:val="none" w:sz="0" w:space="0" w:color="auto"/>
          </w:divBdr>
        </w:div>
        <w:div w:id="690104246">
          <w:marLeft w:val="0"/>
          <w:marRight w:val="0"/>
          <w:marTop w:val="0"/>
          <w:marBottom w:val="0"/>
          <w:divBdr>
            <w:top w:val="none" w:sz="0" w:space="0" w:color="auto"/>
            <w:left w:val="none" w:sz="0" w:space="0" w:color="auto"/>
            <w:bottom w:val="none" w:sz="0" w:space="0" w:color="auto"/>
            <w:right w:val="none" w:sz="0" w:space="0" w:color="auto"/>
          </w:divBdr>
        </w:div>
        <w:div w:id="719323756">
          <w:marLeft w:val="0"/>
          <w:marRight w:val="0"/>
          <w:marTop w:val="0"/>
          <w:marBottom w:val="0"/>
          <w:divBdr>
            <w:top w:val="none" w:sz="0" w:space="0" w:color="auto"/>
            <w:left w:val="none" w:sz="0" w:space="0" w:color="auto"/>
            <w:bottom w:val="none" w:sz="0" w:space="0" w:color="auto"/>
            <w:right w:val="none" w:sz="0" w:space="0" w:color="auto"/>
          </w:divBdr>
        </w:div>
        <w:div w:id="910580631">
          <w:marLeft w:val="0"/>
          <w:marRight w:val="0"/>
          <w:marTop w:val="0"/>
          <w:marBottom w:val="0"/>
          <w:divBdr>
            <w:top w:val="none" w:sz="0" w:space="0" w:color="auto"/>
            <w:left w:val="none" w:sz="0" w:space="0" w:color="auto"/>
            <w:bottom w:val="none" w:sz="0" w:space="0" w:color="auto"/>
            <w:right w:val="none" w:sz="0" w:space="0" w:color="auto"/>
          </w:divBdr>
        </w:div>
        <w:div w:id="937178119">
          <w:marLeft w:val="0"/>
          <w:marRight w:val="0"/>
          <w:marTop w:val="0"/>
          <w:marBottom w:val="0"/>
          <w:divBdr>
            <w:top w:val="none" w:sz="0" w:space="0" w:color="auto"/>
            <w:left w:val="none" w:sz="0" w:space="0" w:color="auto"/>
            <w:bottom w:val="none" w:sz="0" w:space="0" w:color="auto"/>
            <w:right w:val="none" w:sz="0" w:space="0" w:color="auto"/>
          </w:divBdr>
        </w:div>
        <w:div w:id="967318567">
          <w:marLeft w:val="0"/>
          <w:marRight w:val="0"/>
          <w:marTop w:val="0"/>
          <w:marBottom w:val="0"/>
          <w:divBdr>
            <w:top w:val="none" w:sz="0" w:space="0" w:color="auto"/>
            <w:left w:val="none" w:sz="0" w:space="0" w:color="auto"/>
            <w:bottom w:val="none" w:sz="0" w:space="0" w:color="auto"/>
            <w:right w:val="none" w:sz="0" w:space="0" w:color="auto"/>
          </w:divBdr>
        </w:div>
        <w:div w:id="1107114989">
          <w:marLeft w:val="0"/>
          <w:marRight w:val="0"/>
          <w:marTop w:val="0"/>
          <w:marBottom w:val="0"/>
          <w:divBdr>
            <w:top w:val="none" w:sz="0" w:space="0" w:color="auto"/>
            <w:left w:val="none" w:sz="0" w:space="0" w:color="auto"/>
            <w:bottom w:val="none" w:sz="0" w:space="0" w:color="auto"/>
            <w:right w:val="none" w:sz="0" w:space="0" w:color="auto"/>
          </w:divBdr>
        </w:div>
        <w:div w:id="1193108911">
          <w:marLeft w:val="0"/>
          <w:marRight w:val="0"/>
          <w:marTop w:val="0"/>
          <w:marBottom w:val="0"/>
          <w:divBdr>
            <w:top w:val="none" w:sz="0" w:space="0" w:color="auto"/>
            <w:left w:val="none" w:sz="0" w:space="0" w:color="auto"/>
            <w:bottom w:val="none" w:sz="0" w:space="0" w:color="auto"/>
            <w:right w:val="none" w:sz="0" w:space="0" w:color="auto"/>
          </w:divBdr>
        </w:div>
        <w:div w:id="1315178219">
          <w:marLeft w:val="0"/>
          <w:marRight w:val="0"/>
          <w:marTop w:val="0"/>
          <w:marBottom w:val="0"/>
          <w:divBdr>
            <w:top w:val="none" w:sz="0" w:space="0" w:color="auto"/>
            <w:left w:val="none" w:sz="0" w:space="0" w:color="auto"/>
            <w:bottom w:val="none" w:sz="0" w:space="0" w:color="auto"/>
            <w:right w:val="none" w:sz="0" w:space="0" w:color="auto"/>
          </w:divBdr>
        </w:div>
        <w:div w:id="1340889788">
          <w:marLeft w:val="0"/>
          <w:marRight w:val="0"/>
          <w:marTop w:val="0"/>
          <w:marBottom w:val="0"/>
          <w:divBdr>
            <w:top w:val="none" w:sz="0" w:space="0" w:color="auto"/>
            <w:left w:val="none" w:sz="0" w:space="0" w:color="auto"/>
            <w:bottom w:val="none" w:sz="0" w:space="0" w:color="auto"/>
            <w:right w:val="none" w:sz="0" w:space="0" w:color="auto"/>
          </w:divBdr>
        </w:div>
        <w:div w:id="1371346285">
          <w:marLeft w:val="0"/>
          <w:marRight w:val="0"/>
          <w:marTop w:val="0"/>
          <w:marBottom w:val="0"/>
          <w:divBdr>
            <w:top w:val="none" w:sz="0" w:space="0" w:color="auto"/>
            <w:left w:val="none" w:sz="0" w:space="0" w:color="auto"/>
            <w:bottom w:val="none" w:sz="0" w:space="0" w:color="auto"/>
            <w:right w:val="none" w:sz="0" w:space="0" w:color="auto"/>
          </w:divBdr>
        </w:div>
        <w:div w:id="1379861397">
          <w:marLeft w:val="0"/>
          <w:marRight w:val="0"/>
          <w:marTop w:val="0"/>
          <w:marBottom w:val="0"/>
          <w:divBdr>
            <w:top w:val="none" w:sz="0" w:space="0" w:color="auto"/>
            <w:left w:val="none" w:sz="0" w:space="0" w:color="auto"/>
            <w:bottom w:val="none" w:sz="0" w:space="0" w:color="auto"/>
            <w:right w:val="none" w:sz="0" w:space="0" w:color="auto"/>
          </w:divBdr>
        </w:div>
        <w:div w:id="1388797886">
          <w:marLeft w:val="0"/>
          <w:marRight w:val="0"/>
          <w:marTop w:val="0"/>
          <w:marBottom w:val="0"/>
          <w:divBdr>
            <w:top w:val="none" w:sz="0" w:space="0" w:color="auto"/>
            <w:left w:val="none" w:sz="0" w:space="0" w:color="auto"/>
            <w:bottom w:val="none" w:sz="0" w:space="0" w:color="auto"/>
            <w:right w:val="none" w:sz="0" w:space="0" w:color="auto"/>
          </w:divBdr>
        </w:div>
        <w:div w:id="1395200642">
          <w:marLeft w:val="0"/>
          <w:marRight w:val="0"/>
          <w:marTop w:val="0"/>
          <w:marBottom w:val="0"/>
          <w:divBdr>
            <w:top w:val="none" w:sz="0" w:space="0" w:color="auto"/>
            <w:left w:val="none" w:sz="0" w:space="0" w:color="auto"/>
            <w:bottom w:val="none" w:sz="0" w:space="0" w:color="auto"/>
            <w:right w:val="none" w:sz="0" w:space="0" w:color="auto"/>
          </w:divBdr>
        </w:div>
        <w:div w:id="1485976128">
          <w:marLeft w:val="0"/>
          <w:marRight w:val="0"/>
          <w:marTop w:val="0"/>
          <w:marBottom w:val="0"/>
          <w:divBdr>
            <w:top w:val="none" w:sz="0" w:space="0" w:color="auto"/>
            <w:left w:val="none" w:sz="0" w:space="0" w:color="auto"/>
            <w:bottom w:val="none" w:sz="0" w:space="0" w:color="auto"/>
            <w:right w:val="none" w:sz="0" w:space="0" w:color="auto"/>
          </w:divBdr>
        </w:div>
        <w:div w:id="1530560305">
          <w:marLeft w:val="0"/>
          <w:marRight w:val="0"/>
          <w:marTop w:val="0"/>
          <w:marBottom w:val="0"/>
          <w:divBdr>
            <w:top w:val="none" w:sz="0" w:space="0" w:color="auto"/>
            <w:left w:val="none" w:sz="0" w:space="0" w:color="auto"/>
            <w:bottom w:val="none" w:sz="0" w:space="0" w:color="auto"/>
            <w:right w:val="none" w:sz="0" w:space="0" w:color="auto"/>
          </w:divBdr>
        </w:div>
        <w:div w:id="1539319540">
          <w:marLeft w:val="0"/>
          <w:marRight w:val="0"/>
          <w:marTop w:val="0"/>
          <w:marBottom w:val="0"/>
          <w:divBdr>
            <w:top w:val="none" w:sz="0" w:space="0" w:color="auto"/>
            <w:left w:val="none" w:sz="0" w:space="0" w:color="auto"/>
            <w:bottom w:val="none" w:sz="0" w:space="0" w:color="auto"/>
            <w:right w:val="none" w:sz="0" w:space="0" w:color="auto"/>
          </w:divBdr>
        </w:div>
        <w:div w:id="1598781633">
          <w:marLeft w:val="0"/>
          <w:marRight w:val="0"/>
          <w:marTop w:val="0"/>
          <w:marBottom w:val="0"/>
          <w:divBdr>
            <w:top w:val="none" w:sz="0" w:space="0" w:color="auto"/>
            <w:left w:val="none" w:sz="0" w:space="0" w:color="auto"/>
            <w:bottom w:val="none" w:sz="0" w:space="0" w:color="auto"/>
            <w:right w:val="none" w:sz="0" w:space="0" w:color="auto"/>
          </w:divBdr>
        </w:div>
        <w:div w:id="1621840627">
          <w:marLeft w:val="0"/>
          <w:marRight w:val="0"/>
          <w:marTop w:val="0"/>
          <w:marBottom w:val="0"/>
          <w:divBdr>
            <w:top w:val="none" w:sz="0" w:space="0" w:color="auto"/>
            <w:left w:val="none" w:sz="0" w:space="0" w:color="auto"/>
            <w:bottom w:val="none" w:sz="0" w:space="0" w:color="auto"/>
            <w:right w:val="none" w:sz="0" w:space="0" w:color="auto"/>
          </w:divBdr>
        </w:div>
        <w:div w:id="1694069249">
          <w:marLeft w:val="0"/>
          <w:marRight w:val="0"/>
          <w:marTop w:val="0"/>
          <w:marBottom w:val="0"/>
          <w:divBdr>
            <w:top w:val="none" w:sz="0" w:space="0" w:color="auto"/>
            <w:left w:val="none" w:sz="0" w:space="0" w:color="auto"/>
            <w:bottom w:val="none" w:sz="0" w:space="0" w:color="auto"/>
            <w:right w:val="none" w:sz="0" w:space="0" w:color="auto"/>
          </w:divBdr>
        </w:div>
        <w:div w:id="1723403879">
          <w:marLeft w:val="0"/>
          <w:marRight w:val="0"/>
          <w:marTop w:val="0"/>
          <w:marBottom w:val="0"/>
          <w:divBdr>
            <w:top w:val="none" w:sz="0" w:space="0" w:color="auto"/>
            <w:left w:val="none" w:sz="0" w:space="0" w:color="auto"/>
            <w:bottom w:val="none" w:sz="0" w:space="0" w:color="auto"/>
            <w:right w:val="none" w:sz="0" w:space="0" w:color="auto"/>
          </w:divBdr>
        </w:div>
        <w:div w:id="1743285740">
          <w:marLeft w:val="0"/>
          <w:marRight w:val="0"/>
          <w:marTop w:val="0"/>
          <w:marBottom w:val="0"/>
          <w:divBdr>
            <w:top w:val="none" w:sz="0" w:space="0" w:color="auto"/>
            <w:left w:val="none" w:sz="0" w:space="0" w:color="auto"/>
            <w:bottom w:val="none" w:sz="0" w:space="0" w:color="auto"/>
            <w:right w:val="none" w:sz="0" w:space="0" w:color="auto"/>
          </w:divBdr>
        </w:div>
        <w:div w:id="1804418072">
          <w:marLeft w:val="0"/>
          <w:marRight w:val="0"/>
          <w:marTop w:val="0"/>
          <w:marBottom w:val="0"/>
          <w:divBdr>
            <w:top w:val="none" w:sz="0" w:space="0" w:color="auto"/>
            <w:left w:val="none" w:sz="0" w:space="0" w:color="auto"/>
            <w:bottom w:val="none" w:sz="0" w:space="0" w:color="auto"/>
            <w:right w:val="none" w:sz="0" w:space="0" w:color="auto"/>
          </w:divBdr>
        </w:div>
        <w:div w:id="1812551190">
          <w:marLeft w:val="0"/>
          <w:marRight w:val="0"/>
          <w:marTop w:val="0"/>
          <w:marBottom w:val="0"/>
          <w:divBdr>
            <w:top w:val="none" w:sz="0" w:space="0" w:color="auto"/>
            <w:left w:val="none" w:sz="0" w:space="0" w:color="auto"/>
            <w:bottom w:val="none" w:sz="0" w:space="0" w:color="auto"/>
            <w:right w:val="none" w:sz="0" w:space="0" w:color="auto"/>
          </w:divBdr>
        </w:div>
        <w:div w:id="1876305783">
          <w:marLeft w:val="0"/>
          <w:marRight w:val="0"/>
          <w:marTop w:val="0"/>
          <w:marBottom w:val="0"/>
          <w:divBdr>
            <w:top w:val="none" w:sz="0" w:space="0" w:color="auto"/>
            <w:left w:val="none" w:sz="0" w:space="0" w:color="auto"/>
            <w:bottom w:val="none" w:sz="0" w:space="0" w:color="auto"/>
            <w:right w:val="none" w:sz="0" w:space="0" w:color="auto"/>
          </w:divBdr>
        </w:div>
        <w:div w:id="1888181297">
          <w:marLeft w:val="0"/>
          <w:marRight w:val="0"/>
          <w:marTop w:val="0"/>
          <w:marBottom w:val="0"/>
          <w:divBdr>
            <w:top w:val="none" w:sz="0" w:space="0" w:color="auto"/>
            <w:left w:val="none" w:sz="0" w:space="0" w:color="auto"/>
            <w:bottom w:val="none" w:sz="0" w:space="0" w:color="auto"/>
            <w:right w:val="none" w:sz="0" w:space="0" w:color="auto"/>
          </w:divBdr>
        </w:div>
        <w:div w:id="1955748114">
          <w:marLeft w:val="0"/>
          <w:marRight w:val="0"/>
          <w:marTop w:val="0"/>
          <w:marBottom w:val="0"/>
          <w:divBdr>
            <w:top w:val="none" w:sz="0" w:space="0" w:color="auto"/>
            <w:left w:val="none" w:sz="0" w:space="0" w:color="auto"/>
            <w:bottom w:val="none" w:sz="0" w:space="0" w:color="auto"/>
            <w:right w:val="none" w:sz="0" w:space="0" w:color="auto"/>
          </w:divBdr>
        </w:div>
        <w:div w:id="1963882231">
          <w:marLeft w:val="0"/>
          <w:marRight w:val="0"/>
          <w:marTop w:val="0"/>
          <w:marBottom w:val="0"/>
          <w:divBdr>
            <w:top w:val="none" w:sz="0" w:space="0" w:color="auto"/>
            <w:left w:val="none" w:sz="0" w:space="0" w:color="auto"/>
            <w:bottom w:val="none" w:sz="0" w:space="0" w:color="auto"/>
            <w:right w:val="none" w:sz="0" w:space="0" w:color="auto"/>
          </w:divBdr>
        </w:div>
        <w:div w:id="2057389265">
          <w:marLeft w:val="0"/>
          <w:marRight w:val="0"/>
          <w:marTop w:val="0"/>
          <w:marBottom w:val="0"/>
          <w:divBdr>
            <w:top w:val="none" w:sz="0" w:space="0" w:color="auto"/>
            <w:left w:val="none" w:sz="0" w:space="0" w:color="auto"/>
            <w:bottom w:val="none" w:sz="0" w:space="0" w:color="auto"/>
            <w:right w:val="none" w:sz="0" w:space="0" w:color="auto"/>
          </w:divBdr>
        </w:div>
        <w:div w:id="2070182224">
          <w:marLeft w:val="0"/>
          <w:marRight w:val="0"/>
          <w:marTop w:val="0"/>
          <w:marBottom w:val="0"/>
          <w:divBdr>
            <w:top w:val="none" w:sz="0" w:space="0" w:color="auto"/>
            <w:left w:val="none" w:sz="0" w:space="0" w:color="auto"/>
            <w:bottom w:val="none" w:sz="0" w:space="0" w:color="auto"/>
            <w:right w:val="none" w:sz="0" w:space="0" w:color="auto"/>
          </w:divBdr>
        </w:div>
        <w:div w:id="2130004279">
          <w:marLeft w:val="0"/>
          <w:marRight w:val="0"/>
          <w:marTop w:val="0"/>
          <w:marBottom w:val="0"/>
          <w:divBdr>
            <w:top w:val="none" w:sz="0" w:space="0" w:color="auto"/>
            <w:left w:val="none" w:sz="0" w:space="0" w:color="auto"/>
            <w:bottom w:val="none" w:sz="0" w:space="0" w:color="auto"/>
            <w:right w:val="none" w:sz="0" w:space="0" w:color="auto"/>
          </w:divBdr>
        </w:div>
      </w:divsChild>
    </w:div>
    <w:div w:id="209463378">
      <w:bodyDiv w:val="1"/>
      <w:marLeft w:val="0"/>
      <w:marRight w:val="0"/>
      <w:marTop w:val="0"/>
      <w:marBottom w:val="0"/>
      <w:divBdr>
        <w:top w:val="none" w:sz="0" w:space="0" w:color="auto"/>
        <w:left w:val="none" w:sz="0" w:space="0" w:color="auto"/>
        <w:bottom w:val="none" w:sz="0" w:space="0" w:color="auto"/>
        <w:right w:val="none" w:sz="0" w:space="0" w:color="auto"/>
      </w:divBdr>
      <w:divsChild>
        <w:div w:id="57939968">
          <w:marLeft w:val="0"/>
          <w:marRight w:val="0"/>
          <w:marTop w:val="0"/>
          <w:marBottom w:val="0"/>
          <w:divBdr>
            <w:top w:val="none" w:sz="0" w:space="0" w:color="auto"/>
            <w:left w:val="none" w:sz="0" w:space="0" w:color="auto"/>
            <w:bottom w:val="none" w:sz="0" w:space="0" w:color="auto"/>
            <w:right w:val="none" w:sz="0" w:space="0" w:color="auto"/>
          </w:divBdr>
        </w:div>
        <w:div w:id="144785376">
          <w:marLeft w:val="0"/>
          <w:marRight w:val="0"/>
          <w:marTop w:val="0"/>
          <w:marBottom w:val="0"/>
          <w:divBdr>
            <w:top w:val="none" w:sz="0" w:space="0" w:color="auto"/>
            <w:left w:val="none" w:sz="0" w:space="0" w:color="auto"/>
            <w:bottom w:val="none" w:sz="0" w:space="0" w:color="auto"/>
            <w:right w:val="none" w:sz="0" w:space="0" w:color="auto"/>
          </w:divBdr>
        </w:div>
        <w:div w:id="160435281">
          <w:marLeft w:val="0"/>
          <w:marRight w:val="0"/>
          <w:marTop w:val="0"/>
          <w:marBottom w:val="0"/>
          <w:divBdr>
            <w:top w:val="none" w:sz="0" w:space="0" w:color="auto"/>
            <w:left w:val="none" w:sz="0" w:space="0" w:color="auto"/>
            <w:bottom w:val="none" w:sz="0" w:space="0" w:color="auto"/>
            <w:right w:val="none" w:sz="0" w:space="0" w:color="auto"/>
          </w:divBdr>
        </w:div>
        <w:div w:id="161356742">
          <w:marLeft w:val="0"/>
          <w:marRight w:val="0"/>
          <w:marTop w:val="0"/>
          <w:marBottom w:val="0"/>
          <w:divBdr>
            <w:top w:val="none" w:sz="0" w:space="0" w:color="auto"/>
            <w:left w:val="none" w:sz="0" w:space="0" w:color="auto"/>
            <w:bottom w:val="none" w:sz="0" w:space="0" w:color="auto"/>
            <w:right w:val="none" w:sz="0" w:space="0" w:color="auto"/>
          </w:divBdr>
        </w:div>
        <w:div w:id="210698313">
          <w:marLeft w:val="0"/>
          <w:marRight w:val="0"/>
          <w:marTop w:val="0"/>
          <w:marBottom w:val="0"/>
          <w:divBdr>
            <w:top w:val="none" w:sz="0" w:space="0" w:color="auto"/>
            <w:left w:val="none" w:sz="0" w:space="0" w:color="auto"/>
            <w:bottom w:val="none" w:sz="0" w:space="0" w:color="auto"/>
            <w:right w:val="none" w:sz="0" w:space="0" w:color="auto"/>
          </w:divBdr>
        </w:div>
        <w:div w:id="227692185">
          <w:marLeft w:val="0"/>
          <w:marRight w:val="0"/>
          <w:marTop w:val="0"/>
          <w:marBottom w:val="0"/>
          <w:divBdr>
            <w:top w:val="none" w:sz="0" w:space="0" w:color="auto"/>
            <w:left w:val="none" w:sz="0" w:space="0" w:color="auto"/>
            <w:bottom w:val="none" w:sz="0" w:space="0" w:color="auto"/>
            <w:right w:val="none" w:sz="0" w:space="0" w:color="auto"/>
          </w:divBdr>
        </w:div>
        <w:div w:id="259804675">
          <w:marLeft w:val="0"/>
          <w:marRight w:val="0"/>
          <w:marTop w:val="0"/>
          <w:marBottom w:val="0"/>
          <w:divBdr>
            <w:top w:val="none" w:sz="0" w:space="0" w:color="auto"/>
            <w:left w:val="none" w:sz="0" w:space="0" w:color="auto"/>
            <w:bottom w:val="none" w:sz="0" w:space="0" w:color="auto"/>
            <w:right w:val="none" w:sz="0" w:space="0" w:color="auto"/>
          </w:divBdr>
        </w:div>
        <w:div w:id="286281076">
          <w:marLeft w:val="0"/>
          <w:marRight w:val="0"/>
          <w:marTop w:val="0"/>
          <w:marBottom w:val="0"/>
          <w:divBdr>
            <w:top w:val="none" w:sz="0" w:space="0" w:color="auto"/>
            <w:left w:val="none" w:sz="0" w:space="0" w:color="auto"/>
            <w:bottom w:val="none" w:sz="0" w:space="0" w:color="auto"/>
            <w:right w:val="none" w:sz="0" w:space="0" w:color="auto"/>
          </w:divBdr>
        </w:div>
        <w:div w:id="345400599">
          <w:marLeft w:val="0"/>
          <w:marRight w:val="0"/>
          <w:marTop w:val="0"/>
          <w:marBottom w:val="0"/>
          <w:divBdr>
            <w:top w:val="none" w:sz="0" w:space="0" w:color="auto"/>
            <w:left w:val="none" w:sz="0" w:space="0" w:color="auto"/>
            <w:bottom w:val="none" w:sz="0" w:space="0" w:color="auto"/>
            <w:right w:val="none" w:sz="0" w:space="0" w:color="auto"/>
          </w:divBdr>
        </w:div>
        <w:div w:id="364603555">
          <w:marLeft w:val="0"/>
          <w:marRight w:val="0"/>
          <w:marTop w:val="0"/>
          <w:marBottom w:val="0"/>
          <w:divBdr>
            <w:top w:val="none" w:sz="0" w:space="0" w:color="auto"/>
            <w:left w:val="none" w:sz="0" w:space="0" w:color="auto"/>
            <w:bottom w:val="none" w:sz="0" w:space="0" w:color="auto"/>
            <w:right w:val="none" w:sz="0" w:space="0" w:color="auto"/>
          </w:divBdr>
        </w:div>
        <w:div w:id="364984765">
          <w:marLeft w:val="0"/>
          <w:marRight w:val="0"/>
          <w:marTop w:val="0"/>
          <w:marBottom w:val="0"/>
          <w:divBdr>
            <w:top w:val="none" w:sz="0" w:space="0" w:color="auto"/>
            <w:left w:val="none" w:sz="0" w:space="0" w:color="auto"/>
            <w:bottom w:val="none" w:sz="0" w:space="0" w:color="auto"/>
            <w:right w:val="none" w:sz="0" w:space="0" w:color="auto"/>
          </w:divBdr>
        </w:div>
        <w:div w:id="366177186">
          <w:marLeft w:val="0"/>
          <w:marRight w:val="0"/>
          <w:marTop w:val="0"/>
          <w:marBottom w:val="0"/>
          <w:divBdr>
            <w:top w:val="none" w:sz="0" w:space="0" w:color="auto"/>
            <w:left w:val="none" w:sz="0" w:space="0" w:color="auto"/>
            <w:bottom w:val="none" w:sz="0" w:space="0" w:color="auto"/>
            <w:right w:val="none" w:sz="0" w:space="0" w:color="auto"/>
          </w:divBdr>
        </w:div>
        <w:div w:id="474836902">
          <w:marLeft w:val="0"/>
          <w:marRight w:val="0"/>
          <w:marTop w:val="0"/>
          <w:marBottom w:val="0"/>
          <w:divBdr>
            <w:top w:val="none" w:sz="0" w:space="0" w:color="auto"/>
            <w:left w:val="none" w:sz="0" w:space="0" w:color="auto"/>
            <w:bottom w:val="none" w:sz="0" w:space="0" w:color="auto"/>
            <w:right w:val="none" w:sz="0" w:space="0" w:color="auto"/>
          </w:divBdr>
        </w:div>
        <w:div w:id="475997670">
          <w:marLeft w:val="0"/>
          <w:marRight w:val="0"/>
          <w:marTop w:val="0"/>
          <w:marBottom w:val="0"/>
          <w:divBdr>
            <w:top w:val="none" w:sz="0" w:space="0" w:color="auto"/>
            <w:left w:val="none" w:sz="0" w:space="0" w:color="auto"/>
            <w:bottom w:val="none" w:sz="0" w:space="0" w:color="auto"/>
            <w:right w:val="none" w:sz="0" w:space="0" w:color="auto"/>
          </w:divBdr>
        </w:div>
        <w:div w:id="508720380">
          <w:marLeft w:val="0"/>
          <w:marRight w:val="0"/>
          <w:marTop w:val="0"/>
          <w:marBottom w:val="0"/>
          <w:divBdr>
            <w:top w:val="none" w:sz="0" w:space="0" w:color="auto"/>
            <w:left w:val="none" w:sz="0" w:space="0" w:color="auto"/>
            <w:bottom w:val="none" w:sz="0" w:space="0" w:color="auto"/>
            <w:right w:val="none" w:sz="0" w:space="0" w:color="auto"/>
          </w:divBdr>
        </w:div>
        <w:div w:id="564724217">
          <w:marLeft w:val="0"/>
          <w:marRight w:val="0"/>
          <w:marTop w:val="0"/>
          <w:marBottom w:val="0"/>
          <w:divBdr>
            <w:top w:val="none" w:sz="0" w:space="0" w:color="auto"/>
            <w:left w:val="none" w:sz="0" w:space="0" w:color="auto"/>
            <w:bottom w:val="none" w:sz="0" w:space="0" w:color="auto"/>
            <w:right w:val="none" w:sz="0" w:space="0" w:color="auto"/>
          </w:divBdr>
        </w:div>
        <w:div w:id="573515936">
          <w:marLeft w:val="0"/>
          <w:marRight w:val="0"/>
          <w:marTop w:val="0"/>
          <w:marBottom w:val="0"/>
          <w:divBdr>
            <w:top w:val="none" w:sz="0" w:space="0" w:color="auto"/>
            <w:left w:val="none" w:sz="0" w:space="0" w:color="auto"/>
            <w:bottom w:val="none" w:sz="0" w:space="0" w:color="auto"/>
            <w:right w:val="none" w:sz="0" w:space="0" w:color="auto"/>
          </w:divBdr>
        </w:div>
        <w:div w:id="629169178">
          <w:marLeft w:val="0"/>
          <w:marRight w:val="0"/>
          <w:marTop w:val="0"/>
          <w:marBottom w:val="0"/>
          <w:divBdr>
            <w:top w:val="none" w:sz="0" w:space="0" w:color="auto"/>
            <w:left w:val="none" w:sz="0" w:space="0" w:color="auto"/>
            <w:bottom w:val="none" w:sz="0" w:space="0" w:color="auto"/>
            <w:right w:val="none" w:sz="0" w:space="0" w:color="auto"/>
          </w:divBdr>
        </w:div>
        <w:div w:id="712390939">
          <w:marLeft w:val="0"/>
          <w:marRight w:val="0"/>
          <w:marTop w:val="0"/>
          <w:marBottom w:val="0"/>
          <w:divBdr>
            <w:top w:val="none" w:sz="0" w:space="0" w:color="auto"/>
            <w:left w:val="none" w:sz="0" w:space="0" w:color="auto"/>
            <w:bottom w:val="none" w:sz="0" w:space="0" w:color="auto"/>
            <w:right w:val="none" w:sz="0" w:space="0" w:color="auto"/>
          </w:divBdr>
        </w:div>
        <w:div w:id="733351705">
          <w:marLeft w:val="0"/>
          <w:marRight w:val="0"/>
          <w:marTop w:val="0"/>
          <w:marBottom w:val="0"/>
          <w:divBdr>
            <w:top w:val="none" w:sz="0" w:space="0" w:color="auto"/>
            <w:left w:val="none" w:sz="0" w:space="0" w:color="auto"/>
            <w:bottom w:val="none" w:sz="0" w:space="0" w:color="auto"/>
            <w:right w:val="none" w:sz="0" w:space="0" w:color="auto"/>
          </w:divBdr>
        </w:div>
        <w:div w:id="780103110">
          <w:marLeft w:val="0"/>
          <w:marRight w:val="0"/>
          <w:marTop w:val="0"/>
          <w:marBottom w:val="0"/>
          <w:divBdr>
            <w:top w:val="none" w:sz="0" w:space="0" w:color="auto"/>
            <w:left w:val="none" w:sz="0" w:space="0" w:color="auto"/>
            <w:bottom w:val="none" w:sz="0" w:space="0" w:color="auto"/>
            <w:right w:val="none" w:sz="0" w:space="0" w:color="auto"/>
          </w:divBdr>
        </w:div>
        <w:div w:id="806632192">
          <w:marLeft w:val="0"/>
          <w:marRight w:val="0"/>
          <w:marTop w:val="0"/>
          <w:marBottom w:val="0"/>
          <w:divBdr>
            <w:top w:val="none" w:sz="0" w:space="0" w:color="auto"/>
            <w:left w:val="none" w:sz="0" w:space="0" w:color="auto"/>
            <w:bottom w:val="none" w:sz="0" w:space="0" w:color="auto"/>
            <w:right w:val="none" w:sz="0" w:space="0" w:color="auto"/>
          </w:divBdr>
        </w:div>
        <w:div w:id="808399060">
          <w:marLeft w:val="0"/>
          <w:marRight w:val="0"/>
          <w:marTop w:val="0"/>
          <w:marBottom w:val="0"/>
          <w:divBdr>
            <w:top w:val="none" w:sz="0" w:space="0" w:color="auto"/>
            <w:left w:val="none" w:sz="0" w:space="0" w:color="auto"/>
            <w:bottom w:val="none" w:sz="0" w:space="0" w:color="auto"/>
            <w:right w:val="none" w:sz="0" w:space="0" w:color="auto"/>
          </w:divBdr>
        </w:div>
        <w:div w:id="848254570">
          <w:marLeft w:val="0"/>
          <w:marRight w:val="0"/>
          <w:marTop w:val="0"/>
          <w:marBottom w:val="0"/>
          <w:divBdr>
            <w:top w:val="none" w:sz="0" w:space="0" w:color="auto"/>
            <w:left w:val="none" w:sz="0" w:space="0" w:color="auto"/>
            <w:bottom w:val="none" w:sz="0" w:space="0" w:color="auto"/>
            <w:right w:val="none" w:sz="0" w:space="0" w:color="auto"/>
          </w:divBdr>
        </w:div>
        <w:div w:id="886841417">
          <w:marLeft w:val="0"/>
          <w:marRight w:val="0"/>
          <w:marTop w:val="0"/>
          <w:marBottom w:val="0"/>
          <w:divBdr>
            <w:top w:val="none" w:sz="0" w:space="0" w:color="auto"/>
            <w:left w:val="none" w:sz="0" w:space="0" w:color="auto"/>
            <w:bottom w:val="none" w:sz="0" w:space="0" w:color="auto"/>
            <w:right w:val="none" w:sz="0" w:space="0" w:color="auto"/>
          </w:divBdr>
        </w:div>
        <w:div w:id="944313877">
          <w:marLeft w:val="0"/>
          <w:marRight w:val="0"/>
          <w:marTop w:val="0"/>
          <w:marBottom w:val="0"/>
          <w:divBdr>
            <w:top w:val="none" w:sz="0" w:space="0" w:color="auto"/>
            <w:left w:val="none" w:sz="0" w:space="0" w:color="auto"/>
            <w:bottom w:val="none" w:sz="0" w:space="0" w:color="auto"/>
            <w:right w:val="none" w:sz="0" w:space="0" w:color="auto"/>
          </w:divBdr>
        </w:div>
        <w:div w:id="958730869">
          <w:marLeft w:val="0"/>
          <w:marRight w:val="0"/>
          <w:marTop w:val="0"/>
          <w:marBottom w:val="0"/>
          <w:divBdr>
            <w:top w:val="none" w:sz="0" w:space="0" w:color="auto"/>
            <w:left w:val="none" w:sz="0" w:space="0" w:color="auto"/>
            <w:bottom w:val="none" w:sz="0" w:space="0" w:color="auto"/>
            <w:right w:val="none" w:sz="0" w:space="0" w:color="auto"/>
          </w:divBdr>
        </w:div>
        <w:div w:id="971062021">
          <w:marLeft w:val="0"/>
          <w:marRight w:val="0"/>
          <w:marTop w:val="0"/>
          <w:marBottom w:val="0"/>
          <w:divBdr>
            <w:top w:val="none" w:sz="0" w:space="0" w:color="auto"/>
            <w:left w:val="none" w:sz="0" w:space="0" w:color="auto"/>
            <w:bottom w:val="none" w:sz="0" w:space="0" w:color="auto"/>
            <w:right w:val="none" w:sz="0" w:space="0" w:color="auto"/>
          </w:divBdr>
        </w:div>
        <w:div w:id="971328612">
          <w:marLeft w:val="0"/>
          <w:marRight w:val="0"/>
          <w:marTop w:val="0"/>
          <w:marBottom w:val="0"/>
          <w:divBdr>
            <w:top w:val="none" w:sz="0" w:space="0" w:color="auto"/>
            <w:left w:val="none" w:sz="0" w:space="0" w:color="auto"/>
            <w:bottom w:val="none" w:sz="0" w:space="0" w:color="auto"/>
            <w:right w:val="none" w:sz="0" w:space="0" w:color="auto"/>
          </w:divBdr>
        </w:div>
        <w:div w:id="990451293">
          <w:marLeft w:val="0"/>
          <w:marRight w:val="0"/>
          <w:marTop w:val="0"/>
          <w:marBottom w:val="0"/>
          <w:divBdr>
            <w:top w:val="none" w:sz="0" w:space="0" w:color="auto"/>
            <w:left w:val="none" w:sz="0" w:space="0" w:color="auto"/>
            <w:bottom w:val="none" w:sz="0" w:space="0" w:color="auto"/>
            <w:right w:val="none" w:sz="0" w:space="0" w:color="auto"/>
          </w:divBdr>
        </w:div>
        <w:div w:id="1016662927">
          <w:marLeft w:val="0"/>
          <w:marRight w:val="0"/>
          <w:marTop w:val="0"/>
          <w:marBottom w:val="0"/>
          <w:divBdr>
            <w:top w:val="none" w:sz="0" w:space="0" w:color="auto"/>
            <w:left w:val="none" w:sz="0" w:space="0" w:color="auto"/>
            <w:bottom w:val="none" w:sz="0" w:space="0" w:color="auto"/>
            <w:right w:val="none" w:sz="0" w:space="0" w:color="auto"/>
          </w:divBdr>
        </w:div>
        <w:div w:id="1041318434">
          <w:marLeft w:val="0"/>
          <w:marRight w:val="0"/>
          <w:marTop w:val="0"/>
          <w:marBottom w:val="0"/>
          <w:divBdr>
            <w:top w:val="none" w:sz="0" w:space="0" w:color="auto"/>
            <w:left w:val="none" w:sz="0" w:space="0" w:color="auto"/>
            <w:bottom w:val="none" w:sz="0" w:space="0" w:color="auto"/>
            <w:right w:val="none" w:sz="0" w:space="0" w:color="auto"/>
          </w:divBdr>
        </w:div>
        <w:div w:id="1050762755">
          <w:marLeft w:val="0"/>
          <w:marRight w:val="0"/>
          <w:marTop w:val="0"/>
          <w:marBottom w:val="0"/>
          <w:divBdr>
            <w:top w:val="none" w:sz="0" w:space="0" w:color="auto"/>
            <w:left w:val="none" w:sz="0" w:space="0" w:color="auto"/>
            <w:bottom w:val="none" w:sz="0" w:space="0" w:color="auto"/>
            <w:right w:val="none" w:sz="0" w:space="0" w:color="auto"/>
          </w:divBdr>
        </w:div>
        <w:div w:id="1128399496">
          <w:marLeft w:val="0"/>
          <w:marRight w:val="0"/>
          <w:marTop w:val="0"/>
          <w:marBottom w:val="0"/>
          <w:divBdr>
            <w:top w:val="none" w:sz="0" w:space="0" w:color="auto"/>
            <w:left w:val="none" w:sz="0" w:space="0" w:color="auto"/>
            <w:bottom w:val="none" w:sz="0" w:space="0" w:color="auto"/>
            <w:right w:val="none" w:sz="0" w:space="0" w:color="auto"/>
          </w:divBdr>
        </w:div>
        <w:div w:id="1195850794">
          <w:marLeft w:val="0"/>
          <w:marRight w:val="0"/>
          <w:marTop w:val="0"/>
          <w:marBottom w:val="0"/>
          <w:divBdr>
            <w:top w:val="none" w:sz="0" w:space="0" w:color="auto"/>
            <w:left w:val="none" w:sz="0" w:space="0" w:color="auto"/>
            <w:bottom w:val="none" w:sz="0" w:space="0" w:color="auto"/>
            <w:right w:val="none" w:sz="0" w:space="0" w:color="auto"/>
          </w:divBdr>
        </w:div>
        <w:div w:id="1205678890">
          <w:marLeft w:val="0"/>
          <w:marRight w:val="0"/>
          <w:marTop w:val="0"/>
          <w:marBottom w:val="0"/>
          <w:divBdr>
            <w:top w:val="none" w:sz="0" w:space="0" w:color="auto"/>
            <w:left w:val="none" w:sz="0" w:space="0" w:color="auto"/>
            <w:bottom w:val="none" w:sz="0" w:space="0" w:color="auto"/>
            <w:right w:val="none" w:sz="0" w:space="0" w:color="auto"/>
          </w:divBdr>
        </w:div>
        <w:div w:id="1208375023">
          <w:marLeft w:val="0"/>
          <w:marRight w:val="0"/>
          <w:marTop w:val="0"/>
          <w:marBottom w:val="0"/>
          <w:divBdr>
            <w:top w:val="none" w:sz="0" w:space="0" w:color="auto"/>
            <w:left w:val="none" w:sz="0" w:space="0" w:color="auto"/>
            <w:bottom w:val="none" w:sz="0" w:space="0" w:color="auto"/>
            <w:right w:val="none" w:sz="0" w:space="0" w:color="auto"/>
          </w:divBdr>
        </w:div>
        <w:div w:id="1220818972">
          <w:marLeft w:val="0"/>
          <w:marRight w:val="0"/>
          <w:marTop w:val="0"/>
          <w:marBottom w:val="0"/>
          <w:divBdr>
            <w:top w:val="none" w:sz="0" w:space="0" w:color="auto"/>
            <w:left w:val="none" w:sz="0" w:space="0" w:color="auto"/>
            <w:bottom w:val="none" w:sz="0" w:space="0" w:color="auto"/>
            <w:right w:val="none" w:sz="0" w:space="0" w:color="auto"/>
          </w:divBdr>
        </w:div>
        <w:div w:id="1250624913">
          <w:marLeft w:val="0"/>
          <w:marRight w:val="0"/>
          <w:marTop w:val="0"/>
          <w:marBottom w:val="0"/>
          <w:divBdr>
            <w:top w:val="none" w:sz="0" w:space="0" w:color="auto"/>
            <w:left w:val="none" w:sz="0" w:space="0" w:color="auto"/>
            <w:bottom w:val="none" w:sz="0" w:space="0" w:color="auto"/>
            <w:right w:val="none" w:sz="0" w:space="0" w:color="auto"/>
          </w:divBdr>
        </w:div>
        <w:div w:id="1292979396">
          <w:marLeft w:val="0"/>
          <w:marRight w:val="0"/>
          <w:marTop w:val="0"/>
          <w:marBottom w:val="0"/>
          <w:divBdr>
            <w:top w:val="none" w:sz="0" w:space="0" w:color="auto"/>
            <w:left w:val="none" w:sz="0" w:space="0" w:color="auto"/>
            <w:bottom w:val="none" w:sz="0" w:space="0" w:color="auto"/>
            <w:right w:val="none" w:sz="0" w:space="0" w:color="auto"/>
          </w:divBdr>
        </w:div>
        <w:div w:id="1320646879">
          <w:marLeft w:val="0"/>
          <w:marRight w:val="0"/>
          <w:marTop w:val="0"/>
          <w:marBottom w:val="0"/>
          <w:divBdr>
            <w:top w:val="none" w:sz="0" w:space="0" w:color="auto"/>
            <w:left w:val="none" w:sz="0" w:space="0" w:color="auto"/>
            <w:bottom w:val="none" w:sz="0" w:space="0" w:color="auto"/>
            <w:right w:val="none" w:sz="0" w:space="0" w:color="auto"/>
          </w:divBdr>
        </w:div>
        <w:div w:id="1323578277">
          <w:marLeft w:val="0"/>
          <w:marRight w:val="0"/>
          <w:marTop w:val="0"/>
          <w:marBottom w:val="0"/>
          <w:divBdr>
            <w:top w:val="none" w:sz="0" w:space="0" w:color="auto"/>
            <w:left w:val="none" w:sz="0" w:space="0" w:color="auto"/>
            <w:bottom w:val="none" w:sz="0" w:space="0" w:color="auto"/>
            <w:right w:val="none" w:sz="0" w:space="0" w:color="auto"/>
          </w:divBdr>
        </w:div>
        <w:div w:id="1412510136">
          <w:marLeft w:val="0"/>
          <w:marRight w:val="0"/>
          <w:marTop w:val="0"/>
          <w:marBottom w:val="0"/>
          <w:divBdr>
            <w:top w:val="none" w:sz="0" w:space="0" w:color="auto"/>
            <w:left w:val="none" w:sz="0" w:space="0" w:color="auto"/>
            <w:bottom w:val="none" w:sz="0" w:space="0" w:color="auto"/>
            <w:right w:val="none" w:sz="0" w:space="0" w:color="auto"/>
          </w:divBdr>
        </w:div>
        <w:div w:id="1453095047">
          <w:marLeft w:val="0"/>
          <w:marRight w:val="0"/>
          <w:marTop w:val="0"/>
          <w:marBottom w:val="0"/>
          <w:divBdr>
            <w:top w:val="none" w:sz="0" w:space="0" w:color="auto"/>
            <w:left w:val="none" w:sz="0" w:space="0" w:color="auto"/>
            <w:bottom w:val="none" w:sz="0" w:space="0" w:color="auto"/>
            <w:right w:val="none" w:sz="0" w:space="0" w:color="auto"/>
          </w:divBdr>
        </w:div>
        <w:div w:id="1458450304">
          <w:marLeft w:val="0"/>
          <w:marRight w:val="0"/>
          <w:marTop w:val="0"/>
          <w:marBottom w:val="0"/>
          <w:divBdr>
            <w:top w:val="none" w:sz="0" w:space="0" w:color="auto"/>
            <w:left w:val="none" w:sz="0" w:space="0" w:color="auto"/>
            <w:bottom w:val="none" w:sz="0" w:space="0" w:color="auto"/>
            <w:right w:val="none" w:sz="0" w:space="0" w:color="auto"/>
          </w:divBdr>
        </w:div>
        <w:div w:id="1483355400">
          <w:marLeft w:val="0"/>
          <w:marRight w:val="0"/>
          <w:marTop w:val="0"/>
          <w:marBottom w:val="0"/>
          <w:divBdr>
            <w:top w:val="none" w:sz="0" w:space="0" w:color="auto"/>
            <w:left w:val="none" w:sz="0" w:space="0" w:color="auto"/>
            <w:bottom w:val="none" w:sz="0" w:space="0" w:color="auto"/>
            <w:right w:val="none" w:sz="0" w:space="0" w:color="auto"/>
          </w:divBdr>
        </w:div>
        <w:div w:id="1514415301">
          <w:marLeft w:val="0"/>
          <w:marRight w:val="0"/>
          <w:marTop w:val="0"/>
          <w:marBottom w:val="0"/>
          <w:divBdr>
            <w:top w:val="none" w:sz="0" w:space="0" w:color="auto"/>
            <w:left w:val="none" w:sz="0" w:space="0" w:color="auto"/>
            <w:bottom w:val="none" w:sz="0" w:space="0" w:color="auto"/>
            <w:right w:val="none" w:sz="0" w:space="0" w:color="auto"/>
          </w:divBdr>
        </w:div>
        <w:div w:id="1522624433">
          <w:marLeft w:val="0"/>
          <w:marRight w:val="0"/>
          <w:marTop w:val="0"/>
          <w:marBottom w:val="0"/>
          <w:divBdr>
            <w:top w:val="none" w:sz="0" w:space="0" w:color="auto"/>
            <w:left w:val="none" w:sz="0" w:space="0" w:color="auto"/>
            <w:bottom w:val="none" w:sz="0" w:space="0" w:color="auto"/>
            <w:right w:val="none" w:sz="0" w:space="0" w:color="auto"/>
          </w:divBdr>
        </w:div>
        <w:div w:id="1651400672">
          <w:marLeft w:val="0"/>
          <w:marRight w:val="0"/>
          <w:marTop w:val="0"/>
          <w:marBottom w:val="0"/>
          <w:divBdr>
            <w:top w:val="none" w:sz="0" w:space="0" w:color="auto"/>
            <w:left w:val="none" w:sz="0" w:space="0" w:color="auto"/>
            <w:bottom w:val="none" w:sz="0" w:space="0" w:color="auto"/>
            <w:right w:val="none" w:sz="0" w:space="0" w:color="auto"/>
          </w:divBdr>
        </w:div>
        <w:div w:id="1716731412">
          <w:marLeft w:val="0"/>
          <w:marRight w:val="0"/>
          <w:marTop w:val="0"/>
          <w:marBottom w:val="0"/>
          <w:divBdr>
            <w:top w:val="none" w:sz="0" w:space="0" w:color="auto"/>
            <w:left w:val="none" w:sz="0" w:space="0" w:color="auto"/>
            <w:bottom w:val="none" w:sz="0" w:space="0" w:color="auto"/>
            <w:right w:val="none" w:sz="0" w:space="0" w:color="auto"/>
          </w:divBdr>
        </w:div>
        <w:div w:id="1745100214">
          <w:marLeft w:val="0"/>
          <w:marRight w:val="0"/>
          <w:marTop w:val="0"/>
          <w:marBottom w:val="0"/>
          <w:divBdr>
            <w:top w:val="none" w:sz="0" w:space="0" w:color="auto"/>
            <w:left w:val="none" w:sz="0" w:space="0" w:color="auto"/>
            <w:bottom w:val="none" w:sz="0" w:space="0" w:color="auto"/>
            <w:right w:val="none" w:sz="0" w:space="0" w:color="auto"/>
          </w:divBdr>
        </w:div>
        <w:div w:id="1843931754">
          <w:marLeft w:val="0"/>
          <w:marRight w:val="0"/>
          <w:marTop w:val="0"/>
          <w:marBottom w:val="0"/>
          <w:divBdr>
            <w:top w:val="none" w:sz="0" w:space="0" w:color="auto"/>
            <w:left w:val="none" w:sz="0" w:space="0" w:color="auto"/>
            <w:bottom w:val="none" w:sz="0" w:space="0" w:color="auto"/>
            <w:right w:val="none" w:sz="0" w:space="0" w:color="auto"/>
          </w:divBdr>
        </w:div>
        <w:div w:id="1909420135">
          <w:marLeft w:val="0"/>
          <w:marRight w:val="0"/>
          <w:marTop w:val="0"/>
          <w:marBottom w:val="0"/>
          <w:divBdr>
            <w:top w:val="none" w:sz="0" w:space="0" w:color="auto"/>
            <w:left w:val="none" w:sz="0" w:space="0" w:color="auto"/>
            <w:bottom w:val="none" w:sz="0" w:space="0" w:color="auto"/>
            <w:right w:val="none" w:sz="0" w:space="0" w:color="auto"/>
          </w:divBdr>
        </w:div>
        <w:div w:id="1913462725">
          <w:marLeft w:val="0"/>
          <w:marRight w:val="0"/>
          <w:marTop w:val="0"/>
          <w:marBottom w:val="0"/>
          <w:divBdr>
            <w:top w:val="none" w:sz="0" w:space="0" w:color="auto"/>
            <w:left w:val="none" w:sz="0" w:space="0" w:color="auto"/>
            <w:bottom w:val="none" w:sz="0" w:space="0" w:color="auto"/>
            <w:right w:val="none" w:sz="0" w:space="0" w:color="auto"/>
          </w:divBdr>
        </w:div>
        <w:div w:id="1943494448">
          <w:marLeft w:val="0"/>
          <w:marRight w:val="0"/>
          <w:marTop w:val="0"/>
          <w:marBottom w:val="0"/>
          <w:divBdr>
            <w:top w:val="none" w:sz="0" w:space="0" w:color="auto"/>
            <w:left w:val="none" w:sz="0" w:space="0" w:color="auto"/>
            <w:bottom w:val="none" w:sz="0" w:space="0" w:color="auto"/>
            <w:right w:val="none" w:sz="0" w:space="0" w:color="auto"/>
          </w:divBdr>
        </w:div>
        <w:div w:id="1953239717">
          <w:marLeft w:val="0"/>
          <w:marRight w:val="0"/>
          <w:marTop w:val="0"/>
          <w:marBottom w:val="0"/>
          <w:divBdr>
            <w:top w:val="none" w:sz="0" w:space="0" w:color="auto"/>
            <w:left w:val="none" w:sz="0" w:space="0" w:color="auto"/>
            <w:bottom w:val="none" w:sz="0" w:space="0" w:color="auto"/>
            <w:right w:val="none" w:sz="0" w:space="0" w:color="auto"/>
          </w:divBdr>
        </w:div>
        <w:div w:id="1959752874">
          <w:marLeft w:val="0"/>
          <w:marRight w:val="0"/>
          <w:marTop w:val="0"/>
          <w:marBottom w:val="0"/>
          <w:divBdr>
            <w:top w:val="none" w:sz="0" w:space="0" w:color="auto"/>
            <w:left w:val="none" w:sz="0" w:space="0" w:color="auto"/>
            <w:bottom w:val="none" w:sz="0" w:space="0" w:color="auto"/>
            <w:right w:val="none" w:sz="0" w:space="0" w:color="auto"/>
          </w:divBdr>
        </w:div>
        <w:div w:id="1974098551">
          <w:marLeft w:val="0"/>
          <w:marRight w:val="0"/>
          <w:marTop w:val="0"/>
          <w:marBottom w:val="0"/>
          <w:divBdr>
            <w:top w:val="none" w:sz="0" w:space="0" w:color="auto"/>
            <w:left w:val="none" w:sz="0" w:space="0" w:color="auto"/>
            <w:bottom w:val="none" w:sz="0" w:space="0" w:color="auto"/>
            <w:right w:val="none" w:sz="0" w:space="0" w:color="auto"/>
          </w:divBdr>
        </w:div>
        <w:div w:id="2084571358">
          <w:marLeft w:val="0"/>
          <w:marRight w:val="0"/>
          <w:marTop w:val="0"/>
          <w:marBottom w:val="0"/>
          <w:divBdr>
            <w:top w:val="none" w:sz="0" w:space="0" w:color="auto"/>
            <w:left w:val="none" w:sz="0" w:space="0" w:color="auto"/>
            <w:bottom w:val="none" w:sz="0" w:space="0" w:color="auto"/>
            <w:right w:val="none" w:sz="0" w:space="0" w:color="auto"/>
          </w:divBdr>
        </w:div>
        <w:div w:id="2109037704">
          <w:marLeft w:val="0"/>
          <w:marRight w:val="0"/>
          <w:marTop w:val="0"/>
          <w:marBottom w:val="0"/>
          <w:divBdr>
            <w:top w:val="none" w:sz="0" w:space="0" w:color="auto"/>
            <w:left w:val="none" w:sz="0" w:space="0" w:color="auto"/>
            <w:bottom w:val="none" w:sz="0" w:space="0" w:color="auto"/>
            <w:right w:val="none" w:sz="0" w:space="0" w:color="auto"/>
          </w:divBdr>
        </w:div>
      </w:divsChild>
    </w:div>
    <w:div w:id="557252932">
      <w:bodyDiv w:val="1"/>
      <w:marLeft w:val="0"/>
      <w:marRight w:val="0"/>
      <w:marTop w:val="0"/>
      <w:marBottom w:val="0"/>
      <w:divBdr>
        <w:top w:val="none" w:sz="0" w:space="0" w:color="auto"/>
        <w:left w:val="none" w:sz="0" w:space="0" w:color="auto"/>
        <w:bottom w:val="none" w:sz="0" w:space="0" w:color="auto"/>
        <w:right w:val="none" w:sz="0" w:space="0" w:color="auto"/>
      </w:divBdr>
    </w:div>
    <w:div w:id="905803458">
      <w:bodyDiv w:val="1"/>
      <w:marLeft w:val="0"/>
      <w:marRight w:val="0"/>
      <w:marTop w:val="0"/>
      <w:marBottom w:val="0"/>
      <w:divBdr>
        <w:top w:val="none" w:sz="0" w:space="0" w:color="auto"/>
        <w:left w:val="none" w:sz="0" w:space="0" w:color="auto"/>
        <w:bottom w:val="none" w:sz="0" w:space="0" w:color="auto"/>
        <w:right w:val="none" w:sz="0" w:space="0" w:color="auto"/>
      </w:divBdr>
      <w:divsChild>
        <w:div w:id="1005326692">
          <w:marLeft w:val="0"/>
          <w:marRight w:val="0"/>
          <w:marTop w:val="0"/>
          <w:marBottom w:val="0"/>
          <w:divBdr>
            <w:top w:val="none" w:sz="0" w:space="0" w:color="auto"/>
            <w:left w:val="none" w:sz="0" w:space="0" w:color="auto"/>
            <w:bottom w:val="none" w:sz="0" w:space="0" w:color="auto"/>
            <w:right w:val="none" w:sz="0" w:space="0" w:color="auto"/>
          </w:divBdr>
        </w:div>
        <w:div w:id="1044017491">
          <w:marLeft w:val="0"/>
          <w:marRight w:val="0"/>
          <w:marTop w:val="0"/>
          <w:marBottom w:val="0"/>
          <w:divBdr>
            <w:top w:val="none" w:sz="0" w:space="0" w:color="auto"/>
            <w:left w:val="none" w:sz="0" w:space="0" w:color="auto"/>
            <w:bottom w:val="none" w:sz="0" w:space="0" w:color="auto"/>
            <w:right w:val="none" w:sz="0" w:space="0" w:color="auto"/>
          </w:divBdr>
        </w:div>
      </w:divsChild>
    </w:div>
    <w:div w:id="979268882">
      <w:bodyDiv w:val="1"/>
      <w:marLeft w:val="0"/>
      <w:marRight w:val="0"/>
      <w:marTop w:val="0"/>
      <w:marBottom w:val="0"/>
      <w:divBdr>
        <w:top w:val="none" w:sz="0" w:space="0" w:color="auto"/>
        <w:left w:val="none" w:sz="0" w:space="0" w:color="auto"/>
        <w:bottom w:val="none" w:sz="0" w:space="0" w:color="auto"/>
        <w:right w:val="none" w:sz="0" w:space="0" w:color="auto"/>
      </w:divBdr>
    </w:div>
    <w:div w:id="1069882271">
      <w:bodyDiv w:val="1"/>
      <w:marLeft w:val="0"/>
      <w:marRight w:val="0"/>
      <w:marTop w:val="0"/>
      <w:marBottom w:val="0"/>
      <w:divBdr>
        <w:top w:val="none" w:sz="0" w:space="0" w:color="auto"/>
        <w:left w:val="none" w:sz="0" w:space="0" w:color="auto"/>
        <w:bottom w:val="none" w:sz="0" w:space="0" w:color="auto"/>
        <w:right w:val="none" w:sz="0" w:space="0" w:color="auto"/>
      </w:divBdr>
      <w:divsChild>
        <w:div w:id="97333774">
          <w:marLeft w:val="0"/>
          <w:marRight w:val="0"/>
          <w:marTop w:val="0"/>
          <w:marBottom w:val="0"/>
          <w:divBdr>
            <w:top w:val="none" w:sz="0" w:space="0" w:color="auto"/>
            <w:left w:val="none" w:sz="0" w:space="0" w:color="auto"/>
            <w:bottom w:val="none" w:sz="0" w:space="0" w:color="auto"/>
            <w:right w:val="none" w:sz="0" w:space="0" w:color="auto"/>
          </w:divBdr>
        </w:div>
        <w:div w:id="190581022">
          <w:marLeft w:val="0"/>
          <w:marRight w:val="0"/>
          <w:marTop w:val="0"/>
          <w:marBottom w:val="0"/>
          <w:divBdr>
            <w:top w:val="none" w:sz="0" w:space="0" w:color="auto"/>
            <w:left w:val="none" w:sz="0" w:space="0" w:color="auto"/>
            <w:bottom w:val="none" w:sz="0" w:space="0" w:color="auto"/>
            <w:right w:val="none" w:sz="0" w:space="0" w:color="auto"/>
          </w:divBdr>
        </w:div>
        <w:div w:id="206456488">
          <w:marLeft w:val="0"/>
          <w:marRight w:val="0"/>
          <w:marTop w:val="0"/>
          <w:marBottom w:val="0"/>
          <w:divBdr>
            <w:top w:val="none" w:sz="0" w:space="0" w:color="auto"/>
            <w:left w:val="none" w:sz="0" w:space="0" w:color="auto"/>
            <w:bottom w:val="none" w:sz="0" w:space="0" w:color="auto"/>
            <w:right w:val="none" w:sz="0" w:space="0" w:color="auto"/>
          </w:divBdr>
        </w:div>
        <w:div w:id="388845171">
          <w:marLeft w:val="0"/>
          <w:marRight w:val="0"/>
          <w:marTop w:val="0"/>
          <w:marBottom w:val="0"/>
          <w:divBdr>
            <w:top w:val="none" w:sz="0" w:space="0" w:color="auto"/>
            <w:left w:val="none" w:sz="0" w:space="0" w:color="auto"/>
            <w:bottom w:val="none" w:sz="0" w:space="0" w:color="auto"/>
            <w:right w:val="none" w:sz="0" w:space="0" w:color="auto"/>
          </w:divBdr>
        </w:div>
        <w:div w:id="714697005">
          <w:marLeft w:val="0"/>
          <w:marRight w:val="0"/>
          <w:marTop w:val="0"/>
          <w:marBottom w:val="0"/>
          <w:divBdr>
            <w:top w:val="none" w:sz="0" w:space="0" w:color="auto"/>
            <w:left w:val="none" w:sz="0" w:space="0" w:color="auto"/>
            <w:bottom w:val="none" w:sz="0" w:space="0" w:color="auto"/>
            <w:right w:val="none" w:sz="0" w:space="0" w:color="auto"/>
          </w:divBdr>
        </w:div>
        <w:div w:id="716778984">
          <w:marLeft w:val="0"/>
          <w:marRight w:val="0"/>
          <w:marTop w:val="0"/>
          <w:marBottom w:val="0"/>
          <w:divBdr>
            <w:top w:val="none" w:sz="0" w:space="0" w:color="auto"/>
            <w:left w:val="none" w:sz="0" w:space="0" w:color="auto"/>
            <w:bottom w:val="none" w:sz="0" w:space="0" w:color="auto"/>
            <w:right w:val="none" w:sz="0" w:space="0" w:color="auto"/>
          </w:divBdr>
        </w:div>
        <w:div w:id="761336679">
          <w:marLeft w:val="0"/>
          <w:marRight w:val="0"/>
          <w:marTop w:val="0"/>
          <w:marBottom w:val="0"/>
          <w:divBdr>
            <w:top w:val="none" w:sz="0" w:space="0" w:color="auto"/>
            <w:left w:val="none" w:sz="0" w:space="0" w:color="auto"/>
            <w:bottom w:val="none" w:sz="0" w:space="0" w:color="auto"/>
            <w:right w:val="none" w:sz="0" w:space="0" w:color="auto"/>
          </w:divBdr>
        </w:div>
        <w:div w:id="845831187">
          <w:marLeft w:val="0"/>
          <w:marRight w:val="0"/>
          <w:marTop w:val="0"/>
          <w:marBottom w:val="0"/>
          <w:divBdr>
            <w:top w:val="none" w:sz="0" w:space="0" w:color="auto"/>
            <w:left w:val="none" w:sz="0" w:space="0" w:color="auto"/>
            <w:bottom w:val="none" w:sz="0" w:space="0" w:color="auto"/>
            <w:right w:val="none" w:sz="0" w:space="0" w:color="auto"/>
          </w:divBdr>
        </w:div>
        <w:div w:id="977339987">
          <w:marLeft w:val="0"/>
          <w:marRight w:val="0"/>
          <w:marTop w:val="0"/>
          <w:marBottom w:val="0"/>
          <w:divBdr>
            <w:top w:val="none" w:sz="0" w:space="0" w:color="auto"/>
            <w:left w:val="none" w:sz="0" w:space="0" w:color="auto"/>
            <w:bottom w:val="none" w:sz="0" w:space="0" w:color="auto"/>
            <w:right w:val="none" w:sz="0" w:space="0" w:color="auto"/>
          </w:divBdr>
        </w:div>
        <w:div w:id="985938531">
          <w:marLeft w:val="0"/>
          <w:marRight w:val="0"/>
          <w:marTop w:val="0"/>
          <w:marBottom w:val="0"/>
          <w:divBdr>
            <w:top w:val="none" w:sz="0" w:space="0" w:color="auto"/>
            <w:left w:val="none" w:sz="0" w:space="0" w:color="auto"/>
            <w:bottom w:val="none" w:sz="0" w:space="0" w:color="auto"/>
            <w:right w:val="none" w:sz="0" w:space="0" w:color="auto"/>
          </w:divBdr>
        </w:div>
        <w:div w:id="1008629928">
          <w:marLeft w:val="0"/>
          <w:marRight w:val="0"/>
          <w:marTop w:val="0"/>
          <w:marBottom w:val="0"/>
          <w:divBdr>
            <w:top w:val="none" w:sz="0" w:space="0" w:color="auto"/>
            <w:left w:val="none" w:sz="0" w:space="0" w:color="auto"/>
            <w:bottom w:val="none" w:sz="0" w:space="0" w:color="auto"/>
            <w:right w:val="none" w:sz="0" w:space="0" w:color="auto"/>
          </w:divBdr>
        </w:div>
        <w:div w:id="1098020100">
          <w:marLeft w:val="0"/>
          <w:marRight w:val="0"/>
          <w:marTop w:val="0"/>
          <w:marBottom w:val="0"/>
          <w:divBdr>
            <w:top w:val="none" w:sz="0" w:space="0" w:color="auto"/>
            <w:left w:val="none" w:sz="0" w:space="0" w:color="auto"/>
            <w:bottom w:val="none" w:sz="0" w:space="0" w:color="auto"/>
            <w:right w:val="none" w:sz="0" w:space="0" w:color="auto"/>
          </w:divBdr>
        </w:div>
        <w:div w:id="1234050475">
          <w:marLeft w:val="0"/>
          <w:marRight w:val="0"/>
          <w:marTop w:val="0"/>
          <w:marBottom w:val="0"/>
          <w:divBdr>
            <w:top w:val="none" w:sz="0" w:space="0" w:color="auto"/>
            <w:left w:val="none" w:sz="0" w:space="0" w:color="auto"/>
            <w:bottom w:val="none" w:sz="0" w:space="0" w:color="auto"/>
            <w:right w:val="none" w:sz="0" w:space="0" w:color="auto"/>
          </w:divBdr>
        </w:div>
        <w:div w:id="1254246330">
          <w:marLeft w:val="0"/>
          <w:marRight w:val="0"/>
          <w:marTop w:val="0"/>
          <w:marBottom w:val="0"/>
          <w:divBdr>
            <w:top w:val="none" w:sz="0" w:space="0" w:color="auto"/>
            <w:left w:val="none" w:sz="0" w:space="0" w:color="auto"/>
            <w:bottom w:val="none" w:sz="0" w:space="0" w:color="auto"/>
            <w:right w:val="none" w:sz="0" w:space="0" w:color="auto"/>
          </w:divBdr>
        </w:div>
        <w:div w:id="1331180773">
          <w:marLeft w:val="0"/>
          <w:marRight w:val="0"/>
          <w:marTop w:val="0"/>
          <w:marBottom w:val="0"/>
          <w:divBdr>
            <w:top w:val="none" w:sz="0" w:space="0" w:color="auto"/>
            <w:left w:val="none" w:sz="0" w:space="0" w:color="auto"/>
            <w:bottom w:val="none" w:sz="0" w:space="0" w:color="auto"/>
            <w:right w:val="none" w:sz="0" w:space="0" w:color="auto"/>
          </w:divBdr>
        </w:div>
        <w:div w:id="1356685844">
          <w:marLeft w:val="0"/>
          <w:marRight w:val="0"/>
          <w:marTop w:val="0"/>
          <w:marBottom w:val="0"/>
          <w:divBdr>
            <w:top w:val="none" w:sz="0" w:space="0" w:color="auto"/>
            <w:left w:val="none" w:sz="0" w:space="0" w:color="auto"/>
            <w:bottom w:val="none" w:sz="0" w:space="0" w:color="auto"/>
            <w:right w:val="none" w:sz="0" w:space="0" w:color="auto"/>
          </w:divBdr>
        </w:div>
        <w:div w:id="1419061330">
          <w:marLeft w:val="0"/>
          <w:marRight w:val="0"/>
          <w:marTop w:val="0"/>
          <w:marBottom w:val="0"/>
          <w:divBdr>
            <w:top w:val="none" w:sz="0" w:space="0" w:color="auto"/>
            <w:left w:val="none" w:sz="0" w:space="0" w:color="auto"/>
            <w:bottom w:val="none" w:sz="0" w:space="0" w:color="auto"/>
            <w:right w:val="none" w:sz="0" w:space="0" w:color="auto"/>
          </w:divBdr>
        </w:div>
        <w:div w:id="1472333990">
          <w:marLeft w:val="0"/>
          <w:marRight w:val="0"/>
          <w:marTop w:val="0"/>
          <w:marBottom w:val="0"/>
          <w:divBdr>
            <w:top w:val="none" w:sz="0" w:space="0" w:color="auto"/>
            <w:left w:val="none" w:sz="0" w:space="0" w:color="auto"/>
            <w:bottom w:val="none" w:sz="0" w:space="0" w:color="auto"/>
            <w:right w:val="none" w:sz="0" w:space="0" w:color="auto"/>
          </w:divBdr>
        </w:div>
        <w:div w:id="1559632670">
          <w:marLeft w:val="0"/>
          <w:marRight w:val="0"/>
          <w:marTop w:val="0"/>
          <w:marBottom w:val="0"/>
          <w:divBdr>
            <w:top w:val="none" w:sz="0" w:space="0" w:color="auto"/>
            <w:left w:val="none" w:sz="0" w:space="0" w:color="auto"/>
            <w:bottom w:val="none" w:sz="0" w:space="0" w:color="auto"/>
            <w:right w:val="none" w:sz="0" w:space="0" w:color="auto"/>
          </w:divBdr>
        </w:div>
        <w:div w:id="1648316485">
          <w:marLeft w:val="0"/>
          <w:marRight w:val="0"/>
          <w:marTop w:val="0"/>
          <w:marBottom w:val="0"/>
          <w:divBdr>
            <w:top w:val="none" w:sz="0" w:space="0" w:color="auto"/>
            <w:left w:val="none" w:sz="0" w:space="0" w:color="auto"/>
            <w:bottom w:val="none" w:sz="0" w:space="0" w:color="auto"/>
            <w:right w:val="none" w:sz="0" w:space="0" w:color="auto"/>
          </w:divBdr>
        </w:div>
        <w:div w:id="1762213772">
          <w:marLeft w:val="0"/>
          <w:marRight w:val="0"/>
          <w:marTop w:val="0"/>
          <w:marBottom w:val="0"/>
          <w:divBdr>
            <w:top w:val="none" w:sz="0" w:space="0" w:color="auto"/>
            <w:left w:val="none" w:sz="0" w:space="0" w:color="auto"/>
            <w:bottom w:val="none" w:sz="0" w:space="0" w:color="auto"/>
            <w:right w:val="none" w:sz="0" w:space="0" w:color="auto"/>
          </w:divBdr>
        </w:div>
        <w:div w:id="1836415909">
          <w:marLeft w:val="0"/>
          <w:marRight w:val="0"/>
          <w:marTop w:val="0"/>
          <w:marBottom w:val="0"/>
          <w:divBdr>
            <w:top w:val="none" w:sz="0" w:space="0" w:color="auto"/>
            <w:left w:val="none" w:sz="0" w:space="0" w:color="auto"/>
            <w:bottom w:val="none" w:sz="0" w:space="0" w:color="auto"/>
            <w:right w:val="none" w:sz="0" w:space="0" w:color="auto"/>
          </w:divBdr>
        </w:div>
        <w:div w:id="2037610775">
          <w:marLeft w:val="0"/>
          <w:marRight w:val="0"/>
          <w:marTop w:val="0"/>
          <w:marBottom w:val="0"/>
          <w:divBdr>
            <w:top w:val="none" w:sz="0" w:space="0" w:color="auto"/>
            <w:left w:val="none" w:sz="0" w:space="0" w:color="auto"/>
            <w:bottom w:val="none" w:sz="0" w:space="0" w:color="auto"/>
            <w:right w:val="none" w:sz="0" w:space="0" w:color="auto"/>
          </w:divBdr>
        </w:div>
        <w:div w:id="2058160044">
          <w:marLeft w:val="0"/>
          <w:marRight w:val="0"/>
          <w:marTop w:val="0"/>
          <w:marBottom w:val="0"/>
          <w:divBdr>
            <w:top w:val="none" w:sz="0" w:space="0" w:color="auto"/>
            <w:left w:val="none" w:sz="0" w:space="0" w:color="auto"/>
            <w:bottom w:val="none" w:sz="0" w:space="0" w:color="auto"/>
            <w:right w:val="none" w:sz="0" w:space="0" w:color="auto"/>
          </w:divBdr>
        </w:div>
        <w:div w:id="2091585386">
          <w:marLeft w:val="0"/>
          <w:marRight w:val="0"/>
          <w:marTop w:val="0"/>
          <w:marBottom w:val="0"/>
          <w:divBdr>
            <w:top w:val="none" w:sz="0" w:space="0" w:color="auto"/>
            <w:left w:val="none" w:sz="0" w:space="0" w:color="auto"/>
            <w:bottom w:val="none" w:sz="0" w:space="0" w:color="auto"/>
            <w:right w:val="none" w:sz="0" w:space="0" w:color="auto"/>
          </w:divBdr>
        </w:div>
      </w:divsChild>
    </w:div>
    <w:div w:id="1185512851">
      <w:bodyDiv w:val="1"/>
      <w:marLeft w:val="0"/>
      <w:marRight w:val="0"/>
      <w:marTop w:val="0"/>
      <w:marBottom w:val="0"/>
      <w:divBdr>
        <w:top w:val="none" w:sz="0" w:space="0" w:color="auto"/>
        <w:left w:val="none" w:sz="0" w:space="0" w:color="auto"/>
        <w:bottom w:val="none" w:sz="0" w:space="0" w:color="auto"/>
        <w:right w:val="none" w:sz="0" w:space="0" w:color="auto"/>
      </w:divBdr>
    </w:div>
    <w:div w:id="1488595440">
      <w:bodyDiv w:val="1"/>
      <w:marLeft w:val="0"/>
      <w:marRight w:val="0"/>
      <w:marTop w:val="0"/>
      <w:marBottom w:val="0"/>
      <w:divBdr>
        <w:top w:val="none" w:sz="0" w:space="0" w:color="auto"/>
        <w:left w:val="none" w:sz="0" w:space="0" w:color="auto"/>
        <w:bottom w:val="none" w:sz="0" w:space="0" w:color="auto"/>
        <w:right w:val="none" w:sz="0" w:space="0" w:color="auto"/>
      </w:divBdr>
      <w:divsChild>
        <w:div w:id="4789582">
          <w:marLeft w:val="0"/>
          <w:marRight w:val="0"/>
          <w:marTop w:val="0"/>
          <w:marBottom w:val="0"/>
          <w:divBdr>
            <w:top w:val="none" w:sz="0" w:space="0" w:color="auto"/>
            <w:left w:val="none" w:sz="0" w:space="0" w:color="auto"/>
            <w:bottom w:val="none" w:sz="0" w:space="0" w:color="auto"/>
            <w:right w:val="none" w:sz="0" w:space="0" w:color="auto"/>
          </w:divBdr>
        </w:div>
        <w:div w:id="72970773">
          <w:marLeft w:val="0"/>
          <w:marRight w:val="0"/>
          <w:marTop w:val="0"/>
          <w:marBottom w:val="0"/>
          <w:divBdr>
            <w:top w:val="none" w:sz="0" w:space="0" w:color="auto"/>
            <w:left w:val="none" w:sz="0" w:space="0" w:color="auto"/>
            <w:bottom w:val="none" w:sz="0" w:space="0" w:color="auto"/>
            <w:right w:val="none" w:sz="0" w:space="0" w:color="auto"/>
          </w:divBdr>
        </w:div>
        <w:div w:id="160852431">
          <w:marLeft w:val="0"/>
          <w:marRight w:val="0"/>
          <w:marTop w:val="0"/>
          <w:marBottom w:val="0"/>
          <w:divBdr>
            <w:top w:val="none" w:sz="0" w:space="0" w:color="auto"/>
            <w:left w:val="none" w:sz="0" w:space="0" w:color="auto"/>
            <w:bottom w:val="none" w:sz="0" w:space="0" w:color="auto"/>
            <w:right w:val="none" w:sz="0" w:space="0" w:color="auto"/>
          </w:divBdr>
        </w:div>
        <w:div w:id="280234372">
          <w:marLeft w:val="0"/>
          <w:marRight w:val="0"/>
          <w:marTop w:val="0"/>
          <w:marBottom w:val="0"/>
          <w:divBdr>
            <w:top w:val="none" w:sz="0" w:space="0" w:color="auto"/>
            <w:left w:val="none" w:sz="0" w:space="0" w:color="auto"/>
            <w:bottom w:val="none" w:sz="0" w:space="0" w:color="auto"/>
            <w:right w:val="none" w:sz="0" w:space="0" w:color="auto"/>
          </w:divBdr>
        </w:div>
        <w:div w:id="375587392">
          <w:marLeft w:val="0"/>
          <w:marRight w:val="0"/>
          <w:marTop w:val="0"/>
          <w:marBottom w:val="0"/>
          <w:divBdr>
            <w:top w:val="none" w:sz="0" w:space="0" w:color="auto"/>
            <w:left w:val="none" w:sz="0" w:space="0" w:color="auto"/>
            <w:bottom w:val="none" w:sz="0" w:space="0" w:color="auto"/>
            <w:right w:val="none" w:sz="0" w:space="0" w:color="auto"/>
          </w:divBdr>
        </w:div>
        <w:div w:id="380372169">
          <w:marLeft w:val="0"/>
          <w:marRight w:val="0"/>
          <w:marTop w:val="0"/>
          <w:marBottom w:val="0"/>
          <w:divBdr>
            <w:top w:val="none" w:sz="0" w:space="0" w:color="auto"/>
            <w:left w:val="none" w:sz="0" w:space="0" w:color="auto"/>
            <w:bottom w:val="none" w:sz="0" w:space="0" w:color="auto"/>
            <w:right w:val="none" w:sz="0" w:space="0" w:color="auto"/>
          </w:divBdr>
        </w:div>
        <w:div w:id="646278864">
          <w:marLeft w:val="0"/>
          <w:marRight w:val="0"/>
          <w:marTop w:val="0"/>
          <w:marBottom w:val="0"/>
          <w:divBdr>
            <w:top w:val="none" w:sz="0" w:space="0" w:color="auto"/>
            <w:left w:val="none" w:sz="0" w:space="0" w:color="auto"/>
            <w:bottom w:val="none" w:sz="0" w:space="0" w:color="auto"/>
            <w:right w:val="none" w:sz="0" w:space="0" w:color="auto"/>
          </w:divBdr>
        </w:div>
        <w:div w:id="774177461">
          <w:marLeft w:val="0"/>
          <w:marRight w:val="0"/>
          <w:marTop w:val="0"/>
          <w:marBottom w:val="0"/>
          <w:divBdr>
            <w:top w:val="none" w:sz="0" w:space="0" w:color="auto"/>
            <w:left w:val="none" w:sz="0" w:space="0" w:color="auto"/>
            <w:bottom w:val="none" w:sz="0" w:space="0" w:color="auto"/>
            <w:right w:val="none" w:sz="0" w:space="0" w:color="auto"/>
          </w:divBdr>
        </w:div>
        <w:div w:id="827020636">
          <w:marLeft w:val="0"/>
          <w:marRight w:val="0"/>
          <w:marTop w:val="0"/>
          <w:marBottom w:val="0"/>
          <w:divBdr>
            <w:top w:val="none" w:sz="0" w:space="0" w:color="auto"/>
            <w:left w:val="none" w:sz="0" w:space="0" w:color="auto"/>
            <w:bottom w:val="none" w:sz="0" w:space="0" w:color="auto"/>
            <w:right w:val="none" w:sz="0" w:space="0" w:color="auto"/>
          </w:divBdr>
        </w:div>
        <w:div w:id="834108448">
          <w:marLeft w:val="0"/>
          <w:marRight w:val="0"/>
          <w:marTop w:val="0"/>
          <w:marBottom w:val="0"/>
          <w:divBdr>
            <w:top w:val="none" w:sz="0" w:space="0" w:color="auto"/>
            <w:left w:val="none" w:sz="0" w:space="0" w:color="auto"/>
            <w:bottom w:val="none" w:sz="0" w:space="0" w:color="auto"/>
            <w:right w:val="none" w:sz="0" w:space="0" w:color="auto"/>
          </w:divBdr>
        </w:div>
        <w:div w:id="917206665">
          <w:marLeft w:val="0"/>
          <w:marRight w:val="0"/>
          <w:marTop w:val="0"/>
          <w:marBottom w:val="0"/>
          <w:divBdr>
            <w:top w:val="none" w:sz="0" w:space="0" w:color="auto"/>
            <w:left w:val="none" w:sz="0" w:space="0" w:color="auto"/>
            <w:bottom w:val="none" w:sz="0" w:space="0" w:color="auto"/>
            <w:right w:val="none" w:sz="0" w:space="0" w:color="auto"/>
          </w:divBdr>
        </w:div>
        <w:div w:id="1137066289">
          <w:marLeft w:val="0"/>
          <w:marRight w:val="0"/>
          <w:marTop w:val="0"/>
          <w:marBottom w:val="0"/>
          <w:divBdr>
            <w:top w:val="none" w:sz="0" w:space="0" w:color="auto"/>
            <w:left w:val="none" w:sz="0" w:space="0" w:color="auto"/>
            <w:bottom w:val="none" w:sz="0" w:space="0" w:color="auto"/>
            <w:right w:val="none" w:sz="0" w:space="0" w:color="auto"/>
          </w:divBdr>
        </w:div>
        <w:div w:id="1165822400">
          <w:marLeft w:val="0"/>
          <w:marRight w:val="0"/>
          <w:marTop w:val="0"/>
          <w:marBottom w:val="0"/>
          <w:divBdr>
            <w:top w:val="none" w:sz="0" w:space="0" w:color="auto"/>
            <w:left w:val="none" w:sz="0" w:space="0" w:color="auto"/>
            <w:bottom w:val="none" w:sz="0" w:space="0" w:color="auto"/>
            <w:right w:val="none" w:sz="0" w:space="0" w:color="auto"/>
          </w:divBdr>
        </w:div>
        <w:div w:id="1167595264">
          <w:marLeft w:val="0"/>
          <w:marRight w:val="0"/>
          <w:marTop w:val="0"/>
          <w:marBottom w:val="0"/>
          <w:divBdr>
            <w:top w:val="none" w:sz="0" w:space="0" w:color="auto"/>
            <w:left w:val="none" w:sz="0" w:space="0" w:color="auto"/>
            <w:bottom w:val="none" w:sz="0" w:space="0" w:color="auto"/>
            <w:right w:val="none" w:sz="0" w:space="0" w:color="auto"/>
          </w:divBdr>
        </w:div>
        <w:div w:id="1198352838">
          <w:marLeft w:val="0"/>
          <w:marRight w:val="0"/>
          <w:marTop w:val="0"/>
          <w:marBottom w:val="0"/>
          <w:divBdr>
            <w:top w:val="none" w:sz="0" w:space="0" w:color="auto"/>
            <w:left w:val="none" w:sz="0" w:space="0" w:color="auto"/>
            <w:bottom w:val="none" w:sz="0" w:space="0" w:color="auto"/>
            <w:right w:val="none" w:sz="0" w:space="0" w:color="auto"/>
          </w:divBdr>
        </w:div>
        <w:div w:id="1215124516">
          <w:marLeft w:val="0"/>
          <w:marRight w:val="0"/>
          <w:marTop w:val="0"/>
          <w:marBottom w:val="0"/>
          <w:divBdr>
            <w:top w:val="none" w:sz="0" w:space="0" w:color="auto"/>
            <w:left w:val="none" w:sz="0" w:space="0" w:color="auto"/>
            <w:bottom w:val="none" w:sz="0" w:space="0" w:color="auto"/>
            <w:right w:val="none" w:sz="0" w:space="0" w:color="auto"/>
          </w:divBdr>
        </w:div>
        <w:div w:id="1226188024">
          <w:marLeft w:val="0"/>
          <w:marRight w:val="0"/>
          <w:marTop w:val="0"/>
          <w:marBottom w:val="0"/>
          <w:divBdr>
            <w:top w:val="none" w:sz="0" w:space="0" w:color="auto"/>
            <w:left w:val="none" w:sz="0" w:space="0" w:color="auto"/>
            <w:bottom w:val="none" w:sz="0" w:space="0" w:color="auto"/>
            <w:right w:val="none" w:sz="0" w:space="0" w:color="auto"/>
          </w:divBdr>
        </w:div>
        <w:div w:id="1272787430">
          <w:marLeft w:val="0"/>
          <w:marRight w:val="0"/>
          <w:marTop w:val="0"/>
          <w:marBottom w:val="0"/>
          <w:divBdr>
            <w:top w:val="none" w:sz="0" w:space="0" w:color="auto"/>
            <w:left w:val="none" w:sz="0" w:space="0" w:color="auto"/>
            <w:bottom w:val="none" w:sz="0" w:space="0" w:color="auto"/>
            <w:right w:val="none" w:sz="0" w:space="0" w:color="auto"/>
          </w:divBdr>
        </w:div>
        <w:div w:id="1279798481">
          <w:marLeft w:val="0"/>
          <w:marRight w:val="0"/>
          <w:marTop w:val="0"/>
          <w:marBottom w:val="0"/>
          <w:divBdr>
            <w:top w:val="none" w:sz="0" w:space="0" w:color="auto"/>
            <w:left w:val="none" w:sz="0" w:space="0" w:color="auto"/>
            <w:bottom w:val="none" w:sz="0" w:space="0" w:color="auto"/>
            <w:right w:val="none" w:sz="0" w:space="0" w:color="auto"/>
          </w:divBdr>
        </w:div>
        <w:div w:id="1345091204">
          <w:marLeft w:val="0"/>
          <w:marRight w:val="0"/>
          <w:marTop w:val="0"/>
          <w:marBottom w:val="0"/>
          <w:divBdr>
            <w:top w:val="none" w:sz="0" w:space="0" w:color="auto"/>
            <w:left w:val="none" w:sz="0" w:space="0" w:color="auto"/>
            <w:bottom w:val="none" w:sz="0" w:space="0" w:color="auto"/>
            <w:right w:val="none" w:sz="0" w:space="0" w:color="auto"/>
          </w:divBdr>
        </w:div>
        <w:div w:id="1516068604">
          <w:marLeft w:val="0"/>
          <w:marRight w:val="0"/>
          <w:marTop w:val="0"/>
          <w:marBottom w:val="0"/>
          <w:divBdr>
            <w:top w:val="none" w:sz="0" w:space="0" w:color="auto"/>
            <w:left w:val="none" w:sz="0" w:space="0" w:color="auto"/>
            <w:bottom w:val="none" w:sz="0" w:space="0" w:color="auto"/>
            <w:right w:val="none" w:sz="0" w:space="0" w:color="auto"/>
          </w:divBdr>
        </w:div>
        <w:div w:id="1881169547">
          <w:marLeft w:val="0"/>
          <w:marRight w:val="0"/>
          <w:marTop w:val="0"/>
          <w:marBottom w:val="0"/>
          <w:divBdr>
            <w:top w:val="none" w:sz="0" w:space="0" w:color="auto"/>
            <w:left w:val="none" w:sz="0" w:space="0" w:color="auto"/>
            <w:bottom w:val="none" w:sz="0" w:space="0" w:color="auto"/>
            <w:right w:val="none" w:sz="0" w:space="0" w:color="auto"/>
          </w:divBdr>
        </w:div>
        <w:div w:id="1985044837">
          <w:marLeft w:val="0"/>
          <w:marRight w:val="0"/>
          <w:marTop w:val="0"/>
          <w:marBottom w:val="0"/>
          <w:divBdr>
            <w:top w:val="none" w:sz="0" w:space="0" w:color="auto"/>
            <w:left w:val="none" w:sz="0" w:space="0" w:color="auto"/>
            <w:bottom w:val="none" w:sz="0" w:space="0" w:color="auto"/>
            <w:right w:val="none" w:sz="0" w:space="0" w:color="auto"/>
          </w:divBdr>
        </w:div>
        <w:div w:id="2041197960">
          <w:marLeft w:val="0"/>
          <w:marRight w:val="0"/>
          <w:marTop w:val="0"/>
          <w:marBottom w:val="0"/>
          <w:divBdr>
            <w:top w:val="none" w:sz="0" w:space="0" w:color="auto"/>
            <w:left w:val="none" w:sz="0" w:space="0" w:color="auto"/>
            <w:bottom w:val="none" w:sz="0" w:space="0" w:color="auto"/>
            <w:right w:val="none" w:sz="0" w:space="0" w:color="auto"/>
          </w:divBdr>
        </w:div>
        <w:div w:id="2080707116">
          <w:marLeft w:val="0"/>
          <w:marRight w:val="0"/>
          <w:marTop w:val="0"/>
          <w:marBottom w:val="0"/>
          <w:divBdr>
            <w:top w:val="none" w:sz="0" w:space="0" w:color="auto"/>
            <w:left w:val="none" w:sz="0" w:space="0" w:color="auto"/>
            <w:bottom w:val="none" w:sz="0" w:space="0" w:color="auto"/>
            <w:right w:val="none" w:sz="0" w:space="0" w:color="auto"/>
          </w:divBdr>
        </w:div>
      </w:divsChild>
    </w:div>
    <w:div w:id="1528715042">
      <w:bodyDiv w:val="1"/>
      <w:marLeft w:val="0"/>
      <w:marRight w:val="0"/>
      <w:marTop w:val="0"/>
      <w:marBottom w:val="0"/>
      <w:divBdr>
        <w:top w:val="none" w:sz="0" w:space="0" w:color="auto"/>
        <w:left w:val="none" w:sz="0" w:space="0" w:color="auto"/>
        <w:bottom w:val="none" w:sz="0" w:space="0" w:color="auto"/>
        <w:right w:val="none" w:sz="0" w:space="0" w:color="auto"/>
      </w:divBdr>
    </w:div>
    <w:div w:id="1687101393">
      <w:bodyDiv w:val="1"/>
      <w:marLeft w:val="0"/>
      <w:marRight w:val="0"/>
      <w:marTop w:val="0"/>
      <w:marBottom w:val="0"/>
      <w:divBdr>
        <w:top w:val="none" w:sz="0" w:space="0" w:color="auto"/>
        <w:left w:val="none" w:sz="0" w:space="0" w:color="auto"/>
        <w:bottom w:val="none" w:sz="0" w:space="0" w:color="auto"/>
        <w:right w:val="none" w:sz="0" w:space="0" w:color="auto"/>
      </w:divBdr>
    </w:div>
    <w:div w:id="1823277913">
      <w:bodyDiv w:val="1"/>
      <w:marLeft w:val="0"/>
      <w:marRight w:val="0"/>
      <w:marTop w:val="0"/>
      <w:marBottom w:val="0"/>
      <w:divBdr>
        <w:top w:val="none" w:sz="0" w:space="0" w:color="auto"/>
        <w:left w:val="none" w:sz="0" w:space="0" w:color="auto"/>
        <w:bottom w:val="none" w:sz="0" w:space="0" w:color="auto"/>
        <w:right w:val="none" w:sz="0" w:space="0" w:color="auto"/>
      </w:divBdr>
      <w:divsChild>
        <w:div w:id="259946624">
          <w:marLeft w:val="0"/>
          <w:marRight w:val="0"/>
          <w:marTop w:val="0"/>
          <w:marBottom w:val="0"/>
          <w:divBdr>
            <w:top w:val="none" w:sz="0" w:space="0" w:color="auto"/>
            <w:left w:val="none" w:sz="0" w:space="0" w:color="auto"/>
            <w:bottom w:val="none" w:sz="0" w:space="0" w:color="auto"/>
            <w:right w:val="none" w:sz="0" w:space="0" w:color="auto"/>
          </w:divBdr>
        </w:div>
        <w:div w:id="282199126">
          <w:marLeft w:val="0"/>
          <w:marRight w:val="0"/>
          <w:marTop w:val="0"/>
          <w:marBottom w:val="0"/>
          <w:divBdr>
            <w:top w:val="none" w:sz="0" w:space="0" w:color="auto"/>
            <w:left w:val="none" w:sz="0" w:space="0" w:color="auto"/>
            <w:bottom w:val="none" w:sz="0" w:space="0" w:color="auto"/>
            <w:right w:val="none" w:sz="0" w:space="0" w:color="auto"/>
          </w:divBdr>
        </w:div>
        <w:div w:id="342561386">
          <w:marLeft w:val="0"/>
          <w:marRight w:val="0"/>
          <w:marTop w:val="0"/>
          <w:marBottom w:val="0"/>
          <w:divBdr>
            <w:top w:val="none" w:sz="0" w:space="0" w:color="auto"/>
            <w:left w:val="none" w:sz="0" w:space="0" w:color="auto"/>
            <w:bottom w:val="none" w:sz="0" w:space="0" w:color="auto"/>
            <w:right w:val="none" w:sz="0" w:space="0" w:color="auto"/>
          </w:divBdr>
        </w:div>
        <w:div w:id="580454373">
          <w:marLeft w:val="0"/>
          <w:marRight w:val="0"/>
          <w:marTop w:val="0"/>
          <w:marBottom w:val="0"/>
          <w:divBdr>
            <w:top w:val="none" w:sz="0" w:space="0" w:color="auto"/>
            <w:left w:val="none" w:sz="0" w:space="0" w:color="auto"/>
            <w:bottom w:val="none" w:sz="0" w:space="0" w:color="auto"/>
            <w:right w:val="none" w:sz="0" w:space="0" w:color="auto"/>
          </w:divBdr>
        </w:div>
        <w:div w:id="651906983">
          <w:marLeft w:val="0"/>
          <w:marRight w:val="0"/>
          <w:marTop w:val="0"/>
          <w:marBottom w:val="0"/>
          <w:divBdr>
            <w:top w:val="none" w:sz="0" w:space="0" w:color="auto"/>
            <w:left w:val="none" w:sz="0" w:space="0" w:color="auto"/>
            <w:bottom w:val="none" w:sz="0" w:space="0" w:color="auto"/>
            <w:right w:val="none" w:sz="0" w:space="0" w:color="auto"/>
          </w:divBdr>
        </w:div>
        <w:div w:id="674117017">
          <w:marLeft w:val="0"/>
          <w:marRight w:val="0"/>
          <w:marTop w:val="0"/>
          <w:marBottom w:val="0"/>
          <w:divBdr>
            <w:top w:val="none" w:sz="0" w:space="0" w:color="auto"/>
            <w:left w:val="none" w:sz="0" w:space="0" w:color="auto"/>
            <w:bottom w:val="none" w:sz="0" w:space="0" w:color="auto"/>
            <w:right w:val="none" w:sz="0" w:space="0" w:color="auto"/>
          </w:divBdr>
        </w:div>
        <w:div w:id="738593787">
          <w:marLeft w:val="0"/>
          <w:marRight w:val="0"/>
          <w:marTop w:val="0"/>
          <w:marBottom w:val="0"/>
          <w:divBdr>
            <w:top w:val="none" w:sz="0" w:space="0" w:color="auto"/>
            <w:left w:val="none" w:sz="0" w:space="0" w:color="auto"/>
            <w:bottom w:val="none" w:sz="0" w:space="0" w:color="auto"/>
            <w:right w:val="none" w:sz="0" w:space="0" w:color="auto"/>
          </w:divBdr>
        </w:div>
        <w:div w:id="774596316">
          <w:marLeft w:val="0"/>
          <w:marRight w:val="0"/>
          <w:marTop w:val="0"/>
          <w:marBottom w:val="0"/>
          <w:divBdr>
            <w:top w:val="none" w:sz="0" w:space="0" w:color="auto"/>
            <w:left w:val="none" w:sz="0" w:space="0" w:color="auto"/>
            <w:bottom w:val="none" w:sz="0" w:space="0" w:color="auto"/>
            <w:right w:val="none" w:sz="0" w:space="0" w:color="auto"/>
          </w:divBdr>
        </w:div>
        <w:div w:id="826366623">
          <w:marLeft w:val="0"/>
          <w:marRight w:val="0"/>
          <w:marTop w:val="0"/>
          <w:marBottom w:val="0"/>
          <w:divBdr>
            <w:top w:val="none" w:sz="0" w:space="0" w:color="auto"/>
            <w:left w:val="none" w:sz="0" w:space="0" w:color="auto"/>
            <w:bottom w:val="none" w:sz="0" w:space="0" w:color="auto"/>
            <w:right w:val="none" w:sz="0" w:space="0" w:color="auto"/>
          </w:divBdr>
        </w:div>
        <w:div w:id="865560099">
          <w:marLeft w:val="0"/>
          <w:marRight w:val="0"/>
          <w:marTop w:val="0"/>
          <w:marBottom w:val="0"/>
          <w:divBdr>
            <w:top w:val="none" w:sz="0" w:space="0" w:color="auto"/>
            <w:left w:val="none" w:sz="0" w:space="0" w:color="auto"/>
            <w:bottom w:val="none" w:sz="0" w:space="0" w:color="auto"/>
            <w:right w:val="none" w:sz="0" w:space="0" w:color="auto"/>
          </w:divBdr>
        </w:div>
        <w:div w:id="947659684">
          <w:marLeft w:val="0"/>
          <w:marRight w:val="0"/>
          <w:marTop w:val="0"/>
          <w:marBottom w:val="0"/>
          <w:divBdr>
            <w:top w:val="none" w:sz="0" w:space="0" w:color="auto"/>
            <w:left w:val="none" w:sz="0" w:space="0" w:color="auto"/>
            <w:bottom w:val="none" w:sz="0" w:space="0" w:color="auto"/>
            <w:right w:val="none" w:sz="0" w:space="0" w:color="auto"/>
          </w:divBdr>
        </w:div>
        <w:div w:id="991907483">
          <w:marLeft w:val="0"/>
          <w:marRight w:val="0"/>
          <w:marTop w:val="0"/>
          <w:marBottom w:val="0"/>
          <w:divBdr>
            <w:top w:val="none" w:sz="0" w:space="0" w:color="auto"/>
            <w:left w:val="none" w:sz="0" w:space="0" w:color="auto"/>
            <w:bottom w:val="none" w:sz="0" w:space="0" w:color="auto"/>
            <w:right w:val="none" w:sz="0" w:space="0" w:color="auto"/>
          </w:divBdr>
        </w:div>
        <w:div w:id="1006059246">
          <w:marLeft w:val="0"/>
          <w:marRight w:val="0"/>
          <w:marTop w:val="0"/>
          <w:marBottom w:val="0"/>
          <w:divBdr>
            <w:top w:val="none" w:sz="0" w:space="0" w:color="auto"/>
            <w:left w:val="none" w:sz="0" w:space="0" w:color="auto"/>
            <w:bottom w:val="none" w:sz="0" w:space="0" w:color="auto"/>
            <w:right w:val="none" w:sz="0" w:space="0" w:color="auto"/>
          </w:divBdr>
        </w:div>
        <w:div w:id="1152327313">
          <w:marLeft w:val="0"/>
          <w:marRight w:val="0"/>
          <w:marTop w:val="0"/>
          <w:marBottom w:val="0"/>
          <w:divBdr>
            <w:top w:val="none" w:sz="0" w:space="0" w:color="auto"/>
            <w:left w:val="none" w:sz="0" w:space="0" w:color="auto"/>
            <w:bottom w:val="none" w:sz="0" w:space="0" w:color="auto"/>
            <w:right w:val="none" w:sz="0" w:space="0" w:color="auto"/>
          </w:divBdr>
        </w:div>
        <w:div w:id="1290089593">
          <w:marLeft w:val="0"/>
          <w:marRight w:val="0"/>
          <w:marTop w:val="0"/>
          <w:marBottom w:val="0"/>
          <w:divBdr>
            <w:top w:val="none" w:sz="0" w:space="0" w:color="auto"/>
            <w:left w:val="none" w:sz="0" w:space="0" w:color="auto"/>
            <w:bottom w:val="none" w:sz="0" w:space="0" w:color="auto"/>
            <w:right w:val="none" w:sz="0" w:space="0" w:color="auto"/>
          </w:divBdr>
        </w:div>
        <w:div w:id="1465348408">
          <w:marLeft w:val="0"/>
          <w:marRight w:val="0"/>
          <w:marTop w:val="0"/>
          <w:marBottom w:val="0"/>
          <w:divBdr>
            <w:top w:val="none" w:sz="0" w:space="0" w:color="auto"/>
            <w:left w:val="none" w:sz="0" w:space="0" w:color="auto"/>
            <w:bottom w:val="none" w:sz="0" w:space="0" w:color="auto"/>
            <w:right w:val="none" w:sz="0" w:space="0" w:color="auto"/>
          </w:divBdr>
        </w:div>
        <w:div w:id="1644580733">
          <w:marLeft w:val="0"/>
          <w:marRight w:val="0"/>
          <w:marTop w:val="0"/>
          <w:marBottom w:val="0"/>
          <w:divBdr>
            <w:top w:val="none" w:sz="0" w:space="0" w:color="auto"/>
            <w:left w:val="none" w:sz="0" w:space="0" w:color="auto"/>
            <w:bottom w:val="none" w:sz="0" w:space="0" w:color="auto"/>
            <w:right w:val="none" w:sz="0" w:space="0" w:color="auto"/>
          </w:divBdr>
        </w:div>
        <w:div w:id="1650666957">
          <w:marLeft w:val="0"/>
          <w:marRight w:val="0"/>
          <w:marTop w:val="0"/>
          <w:marBottom w:val="0"/>
          <w:divBdr>
            <w:top w:val="none" w:sz="0" w:space="0" w:color="auto"/>
            <w:left w:val="none" w:sz="0" w:space="0" w:color="auto"/>
            <w:bottom w:val="none" w:sz="0" w:space="0" w:color="auto"/>
            <w:right w:val="none" w:sz="0" w:space="0" w:color="auto"/>
          </w:divBdr>
        </w:div>
        <w:div w:id="1672681513">
          <w:marLeft w:val="0"/>
          <w:marRight w:val="0"/>
          <w:marTop w:val="0"/>
          <w:marBottom w:val="0"/>
          <w:divBdr>
            <w:top w:val="none" w:sz="0" w:space="0" w:color="auto"/>
            <w:left w:val="none" w:sz="0" w:space="0" w:color="auto"/>
            <w:bottom w:val="none" w:sz="0" w:space="0" w:color="auto"/>
            <w:right w:val="none" w:sz="0" w:space="0" w:color="auto"/>
          </w:divBdr>
        </w:div>
        <w:div w:id="1740051725">
          <w:marLeft w:val="0"/>
          <w:marRight w:val="0"/>
          <w:marTop w:val="0"/>
          <w:marBottom w:val="0"/>
          <w:divBdr>
            <w:top w:val="none" w:sz="0" w:space="0" w:color="auto"/>
            <w:left w:val="none" w:sz="0" w:space="0" w:color="auto"/>
            <w:bottom w:val="none" w:sz="0" w:space="0" w:color="auto"/>
            <w:right w:val="none" w:sz="0" w:space="0" w:color="auto"/>
          </w:divBdr>
        </w:div>
        <w:div w:id="1795174294">
          <w:marLeft w:val="0"/>
          <w:marRight w:val="0"/>
          <w:marTop w:val="0"/>
          <w:marBottom w:val="0"/>
          <w:divBdr>
            <w:top w:val="none" w:sz="0" w:space="0" w:color="auto"/>
            <w:left w:val="none" w:sz="0" w:space="0" w:color="auto"/>
            <w:bottom w:val="none" w:sz="0" w:space="0" w:color="auto"/>
            <w:right w:val="none" w:sz="0" w:space="0" w:color="auto"/>
          </w:divBdr>
        </w:div>
        <w:div w:id="2066754291">
          <w:marLeft w:val="0"/>
          <w:marRight w:val="0"/>
          <w:marTop w:val="0"/>
          <w:marBottom w:val="0"/>
          <w:divBdr>
            <w:top w:val="none" w:sz="0" w:space="0" w:color="auto"/>
            <w:left w:val="none" w:sz="0" w:space="0" w:color="auto"/>
            <w:bottom w:val="none" w:sz="0" w:space="0" w:color="auto"/>
            <w:right w:val="none" w:sz="0" w:space="0" w:color="auto"/>
          </w:divBdr>
        </w:div>
      </w:divsChild>
    </w:div>
    <w:div w:id="204016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vincent.winkin@cfwb.be"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iguel.magerat@cfwb.be"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044AE4-DE0C-4CD3-A1F2-4B7841DC63F1}">
  <ds:schemaRefs>
    <ds:schemaRef ds:uri="http://schemas.openxmlformats.org/officeDocument/2006/bibliography"/>
  </ds:schemaRefs>
</ds:datastoreItem>
</file>

<file path=customXml/itemProps2.xml><?xml version="1.0" encoding="utf-8"?>
<ds:datastoreItem xmlns:ds="http://schemas.openxmlformats.org/officeDocument/2006/customXml" ds:itemID="{60E3FE0D-9B67-470C-A3A7-26BDA3E7F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22</Pages>
  <Words>7196</Words>
  <Characters>39582</Characters>
  <Application>Microsoft Office Word</Application>
  <DocSecurity>0</DocSecurity>
  <Lines>329</Lines>
  <Paragraphs>93</Paragraphs>
  <ScaleCrop>false</ScaleCrop>
  <HeadingPairs>
    <vt:vector size="2" baseType="variant">
      <vt:variant>
        <vt:lpstr>Titre</vt:lpstr>
      </vt:variant>
      <vt:variant>
        <vt:i4>1</vt:i4>
      </vt:variant>
    </vt:vector>
  </HeadingPairs>
  <TitlesOfParts>
    <vt:vector size="1" baseType="lpstr">
      <vt:lpstr>CIRCULAIRE N°</vt:lpstr>
    </vt:vector>
  </TitlesOfParts>
  <Company>cfwb</Company>
  <LinksUpToDate>false</LinksUpToDate>
  <CharactersWithSpaces>46685</CharactersWithSpaces>
  <SharedDoc>false</SharedDoc>
  <HLinks>
    <vt:vector size="18" baseType="variant">
      <vt:variant>
        <vt:i4>786534</vt:i4>
      </vt:variant>
      <vt:variant>
        <vt:i4>32</vt:i4>
      </vt:variant>
      <vt:variant>
        <vt:i4>0</vt:i4>
      </vt:variant>
      <vt:variant>
        <vt:i4>5</vt:i4>
      </vt:variant>
      <vt:variant>
        <vt:lpwstr>mailto:patricia.larsille@cfwb.be</vt:lpwstr>
      </vt:variant>
      <vt:variant>
        <vt:lpwstr/>
      </vt:variant>
      <vt:variant>
        <vt:i4>7274513</vt:i4>
      </vt:variant>
      <vt:variant>
        <vt:i4>29</vt:i4>
      </vt:variant>
      <vt:variant>
        <vt:i4>0</vt:i4>
      </vt:variant>
      <vt:variant>
        <vt:i4>5</vt:i4>
      </vt:variant>
      <vt:variant>
        <vt:lpwstr>mailto:sophie.simonis@cfwb.be</vt:lpwstr>
      </vt:variant>
      <vt:variant>
        <vt:lpwstr/>
      </vt:variant>
      <vt:variant>
        <vt:i4>2031727</vt:i4>
      </vt:variant>
      <vt:variant>
        <vt:i4>26</vt:i4>
      </vt:variant>
      <vt:variant>
        <vt:i4>0</vt:i4>
      </vt:variant>
      <vt:variant>
        <vt:i4>5</vt:i4>
      </vt:variant>
      <vt:variant>
        <vt:lpwstr>mailto:brigitte.marchal@cfwb.be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CIRCULAIRE N°</dc:title>
  <dc:creator>COUNET01</dc:creator>
  <cp:lastModifiedBy>ROLAND Pierre</cp:lastModifiedBy>
  <cp:revision>14</cp:revision>
  <cp:lastPrinted>2017-06-12T09:48:00Z</cp:lastPrinted>
  <dcterms:created xsi:type="dcterms:W3CDTF">2017-06-11T13:56:00Z</dcterms:created>
  <dcterms:modified xsi:type="dcterms:W3CDTF">2017-06-13T09:31:00Z</dcterms:modified>
</cp:coreProperties>
</file>